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EF" w:rsidRDefault="00351BEF" w:rsidP="00351BEF">
      <w:pPr>
        <w:pStyle w:val="Title"/>
        <w:ind w:left="0"/>
        <w:rPr>
          <w:rFonts w:ascii="Arial" w:hAnsi="Arial" w:cs="Arial"/>
          <w:color w:val="auto"/>
          <w:sz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F688E8" wp14:editId="75EF32C6">
            <wp:simplePos x="0" y="0"/>
            <wp:positionH relativeFrom="column">
              <wp:posOffset>3408680</wp:posOffset>
            </wp:positionH>
            <wp:positionV relativeFrom="paragraph">
              <wp:posOffset>-488315</wp:posOffset>
            </wp:positionV>
            <wp:extent cx="2917190" cy="485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BEF" w:rsidRDefault="00351BEF" w:rsidP="00351BEF">
      <w:pPr>
        <w:pStyle w:val="Title"/>
        <w:ind w:left="0"/>
        <w:jc w:val="center"/>
        <w:rPr>
          <w:rFonts w:ascii="Arial" w:hAnsi="Arial" w:cs="Arial"/>
          <w:color w:val="auto"/>
          <w:sz w:val="52"/>
        </w:rPr>
      </w:pPr>
      <w:r w:rsidRPr="00351BEF">
        <w:rPr>
          <w:rFonts w:ascii="Arial" w:hAnsi="Arial" w:cs="Arial"/>
          <w:color w:val="auto"/>
          <w:sz w:val="52"/>
        </w:rPr>
        <w:t xml:space="preserve">First afebrile seizure in children </w:t>
      </w:r>
    </w:p>
    <w:p w:rsidR="00351BEF" w:rsidRDefault="00351BEF" w:rsidP="00351BEF">
      <w:pPr>
        <w:pStyle w:val="Title"/>
        <w:ind w:left="0"/>
        <w:jc w:val="center"/>
        <w:rPr>
          <w:rFonts w:ascii="Arial" w:hAnsi="Arial" w:cs="Arial"/>
          <w:color w:val="auto"/>
          <w:sz w:val="52"/>
        </w:rPr>
      </w:pPr>
      <w:proofErr w:type="gramStart"/>
      <w:r w:rsidRPr="00351BEF">
        <w:rPr>
          <w:rFonts w:ascii="Arial" w:hAnsi="Arial" w:cs="Arial"/>
          <w:color w:val="auto"/>
          <w:sz w:val="52"/>
        </w:rPr>
        <w:t>referral</w:t>
      </w:r>
      <w:proofErr w:type="gramEnd"/>
      <w:r w:rsidRPr="00351BEF">
        <w:rPr>
          <w:rFonts w:ascii="Arial" w:hAnsi="Arial" w:cs="Arial"/>
          <w:color w:val="auto"/>
          <w:sz w:val="52"/>
        </w:rPr>
        <w:t xml:space="preserve"> </w:t>
      </w:r>
      <w:proofErr w:type="spellStart"/>
      <w:r w:rsidRPr="00351BEF">
        <w:rPr>
          <w:rFonts w:ascii="Arial" w:hAnsi="Arial" w:cs="Arial"/>
          <w:color w:val="auto"/>
          <w:sz w:val="52"/>
        </w:rPr>
        <w:t>proforma</w:t>
      </w:r>
      <w:proofErr w:type="spellEnd"/>
    </w:p>
    <w:p w:rsidR="00351BEF" w:rsidRDefault="00351BEF" w:rsidP="00351BEF">
      <w:pPr>
        <w:rPr>
          <w:lang w:eastAsia="en-GB"/>
        </w:rPr>
      </w:pPr>
    </w:p>
    <w:p w:rsidR="00351BEF" w:rsidRPr="00351BEF" w:rsidRDefault="00351BEF" w:rsidP="00351BEF">
      <w:pPr>
        <w:rPr>
          <w:lang w:eastAsia="en-GB"/>
        </w:rPr>
      </w:pPr>
    </w:p>
    <w:p w:rsidR="00351BEF" w:rsidRDefault="00351BEF" w:rsidP="00351BEF">
      <w:pPr>
        <w:pStyle w:val="BodyText"/>
      </w:pPr>
      <w:r>
        <w:t xml:space="preserve">Please use this </w:t>
      </w:r>
      <w:proofErr w:type="spellStart"/>
      <w:r>
        <w:t>proforma</w:t>
      </w:r>
      <w:proofErr w:type="spellEnd"/>
      <w:r>
        <w:t xml:space="preserve"> for children who can safely be discharged before admission to the children’s ward, but where follow up is felt necessary.</w:t>
      </w:r>
    </w:p>
    <w:p w:rsidR="00351BEF" w:rsidRDefault="00351BEF" w:rsidP="00351BEF">
      <w:pPr>
        <w:pStyle w:val="BodyText"/>
      </w:pPr>
      <w:proofErr w:type="gramStart"/>
      <w:r>
        <w:t xml:space="preserve">Children under 1 year of age, if there is a </w:t>
      </w:r>
      <w:r w:rsidRPr="00EB6376">
        <w:rPr>
          <w:b/>
          <w:color w:val="FF0000"/>
          <w:u w:val="single"/>
        </w:rPr>
        <w:t>red flag</w:t>
      </w:r>
      <w:r>
        <w:t>, or if there is clinical uncertainty should be discussed with the paediatric registrar before discharge.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633"/>
        <w:gridCol w:w="3002"/>
      </w:tblGrid>
      <w:tr w:rsidR="00351BEF" w:rsidTr="00086F8C">
        <w:tc>
          <w:tcPr>
            <w:tcW w:w="9004" w:type="dxa"/>
            <w:gridSpan w:val="3"/>
          </w:tcPr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  <w:r>
              <w:rPr>
                <w:b/>
              </w:rPr>
              <w:t>Date of referral:</w:t>
            </w:r>
          </w:p>
        </w:tc>
      </w:tr>
      <w:tr w:rsidR="00351BEF" w:rsidTr="00086F8C">
        <w:tc>
          <w:tcPr>
            <w:tcW w:w="9004" w:type="dxa"/>
            <w:gridSpan w:val="3"/>
          </w:tcPr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  <w:r>
              <w:rPr>
                <w:b/>
              </w:rPr>
              <w:t xml:space="preserve">Referred from:                          </w:t>
            </w:r>
            <w:r w:rsidRPr="00AC5082">
              <w:rPr>
                <w:sz w:val="20"/>
              </w:rPr>
              <w:t>(include name of referrer if applicable)</w:t>
            </w:r>
          </w:p>
        </w:tc>
      </w:tr>
      <w:tr w:rsidR="00351BEF" w:rsidTr="00086F8C">
        <w:tc>
          <w:tcPr>
            <w:tcW w:w="9004" w:type="dxa"/>
            <w:gridSpan w:val="3"/>
          </w:tcPr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  <w:r>
              <w:rPr>
                <w:b/>
              </w:rPr>
              <w:t>Patient details:</w:t>
            </w:r>
          </w:p>
          <w:p w:rsidR="00351BEF" w:rsidRPr="00A43EB0" w:rsidRDefault="00351BEF" w:rsidP="00086F8C">
            <w:pPr>
              <w:pStyle w:val="BodyText"/>
              <w:spacing w:line="254" w:lineRule="auto"/>
            </w:pPr>
            <w:r w:rsidRPr="00A43EB0">
              <w:t>Name:</w:t>
            </w:r>
          </w:p>
          <w:p w:rsidR="00351BEF" w:rsidRDefault="00351BEF" w:rsidP="00086F8C">
            <w:pPr>
              <w:pStyle w:val="BodyText"/>
              <w:spacing w:line="254" w:lineRule="auto"/>
            </w:pPr>
            <w:r w:rsidRPr="00A43EB0">
              <w:t>MRN:</w:t>
            </w:r>
            <w:bookmarkStart w:id="0" w:name="_GoBack"/>
            <w:bookmarkEnd w:id="0"/>
          </w:p>
          <w:p w:rsidR="00351BEF" w:rsidRPr="00A43EB0" w:rsidRDefault="00351BEF" w:rsidP="00086F8C">
            <w:pPr>
              <w:pStyle w:val="BodyText"/>
              <w:spacing w:line="254" w:lineRule="auto"/>
            </w:pPr>
            <w:r>
              <w:t>NHS No:</w:t>
            </w:r>
          </w:p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  <w:r w:rsidRPr="00A43EB0">
              <w:t>DOB:</w:t>
            </w:r>
          </w:p>
        </w:tc>
      </w:tr>
      <w:tr w:rsidR="00351BEF" w:rsidTr="00086F8C">
        <w:tc>
          <w:tcPr>
            <w:tcW w:w="9004" w:type="dxa"/>
            <w:gridSpan w:val="3"/>
          </w:tcPr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  <w:r>
              <w:rPr>
                <w:b/>
              </w:rPr>
              <w:t>Observations:</w:t>
            </w:r>
          </w:p>
          <w:p w:rsidR="00351BEF" w:rsidRPr="00A43EB0" w:rsidRDefault="00351BEF" w:rsidP="00086F8C">
            <w:pPr>
              <w:pStyle w:val="BodyText"/>
              <w:spacing w:line="254" w:lineRule="auto"/>
            </w:pPr>
            <w:r w:rsidRPr="00A43EB0">
              <w:t xml:space="preserve">HR:               RR:                   </w:t>
            </w:r>
            <w:proofErr w:type="spellStart"/>
            <w:r w:rsidRPr="00A43EB0">
              <w:t>Sats</w:t>
            </w:r>
            <w:proofErr w:type="spellEnd"/>
            <w:r w:rsidRPr="00A43EB0">
              <w:t>:                  Temp:                     BM:</w:t>
            </w:r>
          </w:p>
        </w:tc>
      </w:tr>
      <w:tr w:rsidR="00351BEF" w:rsidTr="00086F8C">
        <w:tc>
          <w:tcPr>
            <w:tcW w:w="9004" w:type="dxa"/>
            <w:gridSpan w:val="3"/>
          </w:tcPr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  <w:r>
              <w:rPr>
                <w:b/>
              </w:rPr>
              <w:t>Clinical details:</w:t>
            </w:r>
          </w:p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</w:p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</w:p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</w:p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</w:p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</w:p>
        </w:tc>
      </w:tr>
      <w:tr w:rsidR="00351BEF" w:rsidTr="00086F8C">
        <w:tc>
          <w:tcPr>
            <w:tcW w:w="3369" w:type="dxa"/>
          </w:tcPr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  <w:r>
              <w:rPr>
                <w:b/>
              </w:rPr>
              <w:t xml:space="preserve">Co-morbidities </w:t>
            </w:r>
            <w:r w:rsidRPr="004702F1">
              <w:rPr>
                <w:b/>
                <w:sz w:val="20"/>
              </w:rPr>
              <w:t>(tick those that apply)</w:t>
            </w:r>
            <w:r>
              <w:rPr>
                <w:b/>
              </w:rPr>
              <w:t>:</w:t>
            </w:r>
          </w:p>
          <w:p w:rsidR="00351BEF" w:rsidRDefault="00351BEF" w:rsidP="00086F8C">
            <w:pPr>
              <w:pStyle w:val="BodyText"/>
              <w:spacing w:line="254" w:lineRule="auto"/>
              <w:rPr>
                <w:rFonts w:ascii="fontello" w:hAnsi="fontello"/>
                <w:b/>
                <w:szCs w:val="24"/>
              </w:rPr>
            </w:pPr>
            <w:r w:rsidRPr="00A43EB0">
              <w:t>Perinatal/preterm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Cs w:val="24"/>
                </w:rPr>
                <w:id w:val="-173753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351BEF" w:rsidRPr="00A43EB0" w:rsidRDefault="00351BEF" w:rsidP="00086F8C">
            <w:pPr>
              <w:pStyle w:val="BodyText"/>
              <w:spacing w:line="254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43EB0">
              <w:rPr>
                <w:rFonts w:asciiTheme="minorHAnsi" w:hAnsiTheme="minorHAnsi" w:cstheme="minorHAnsi"/>
                <w:szCs w:val="24"/>
              </w:rPr>
              <w:t>Developmental delay/LD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180026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2633" w:type="dxa"/>
          </w:tcPr>
          <w:p w:rsidR="00351BEF" w:rsidRPr="004702F1" w:rsidRDefault="00351BEF" w:rsidP="00086F8C">
            <w:pPr>
              <w:pStyle w:val="BodyText"/>
              <w:spacing w:line="254" w:lineRule="auto"/>
              <w:rPr>
                <w:rFonts w:asciiTheme="minorHAnsi" w:hAnsiTheme="minorHAnsi" w:cstheme="minorHAnsi"/>
                <w:szCs w:val="24"/>
              </w:rPr>
            </w:pPr>
          </w:p>
          <w:p w:rsidR="00351BEF" w:rsidRPr="004702F1" w:rsidRDefault="00351BEF" w:rsidP="00086F8C">
            <w:pPr>
              <w:pStyle w:val="BodyText"/>
              <w:spacing w:line="254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Autistic spectrum</w:t>
            </w:r>
            <w:r w:rsidRPr="004702F1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-28551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351BEF" w:rsidRPr="004702F1" w:rsidRDefault="00351BEF" w:rsidP="00086F8C">
            <w:pPr>
              <w:pStyle w:val="BodyText"/>
              <w:spacing w:line="254" w:lineRule="auto"/>
              <w:rPr>
                <w:rFonts w:asciiTheme="minorHAnsi" w:hAnsiTheme="minorHAnsi" w:cstheme="minorHAnsi"/>
                <w:szCs w:val="24"/>
              </w:rPr>
            </w:pPr>
            <w:r w:rsidRPr="004702F1">
              <w:rPr>
                <w:rFonts w:asciiTheme="minorHAnsi" w:hAnsiTheme="minorHAnsi" w:cstheme="minorHAnsi"/>
                <w:szCs w:val="24"/>
              </w:rPr>
              <w:t>ADHD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-8939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3002" w:type="dxa"/>
          </w:tcPr>
          <w:p w:rsidR="00351BEF" w:rsidRDefault="00351BEF" w:rsidP="00086F8C">
            <w:pPr>
              <w:pStyle w:val="BodyText"/>
              <w:spacing w:line="254" w:lineRule="auto"/>
              <w:rPr>
                <w:rFonts w:asciiTheme="minorHAnsi" w:hAnsiTheme="minorHAnsi" w:cstheme="minorHAnsi"/>
                <w:szCs w:val="24"/>
              </w:rPr>
            </w:pPr>
          </w:p>
          <w:p w:rsidR="00351BEF" w:rsidRPr="004702F1" w:rsidRDefault="00351BEF" w:rsidP="00086F8C">
            <w:pPr>
              <w:pStyle w:val="BodyText"/>
              <w:spacing w:line="254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FH</w:t>
            </w:r>
            <w:r w:rsidRPr="004702F1">
              <w:rPr>
                <w:rFonts w:asciiTheme="minorHAnsi" w:hAnsiTheme="minorHAnsi" w:cstheme="minorHAnsi"/>
                <w:szCs w:val="24"/>
              </w:rPr>
              <w:t xml:space="preserve"> of epilepsy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2174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351BEF" w:rsidRDefault="00351BEF" w:rsidP="00086F8C">
            <w:pPr>
              <w:pStyle w:val="BodyText"/>
              <w:spacing w:line="254" w:lineRule="auto"/>
              <w:rPr>
                <w:rFonts w:ascii="Times New Roman" w:hAnsi="Times New Roman"/>
                <w:b/>
                <w:szCs w:val="24"/>
              </w:rPr>
            </w:pPr>
            <w:r w:rsidRPr="004702F1">
              <w:rPr>
                <w:rFonts w:asciiTheme="minorHAnsi" w:hAnsiTheme="minorHAnsi" w:cstheme="minorHAnsi"/>
                <w:szCs w:val="24"/>
              </w:rPr>
              <w:t xml:space="preserve">Other </w:t>
            </w:r>
            <w:r w:rsidRPr="004702F1">
              <w:rPr>
                <w:rFonts w:asciiTheme="minorHAnsi" w:hAnsiTheme="minorHAnsi" w:cstheme="minorHAnsi"/>
                <w:sz w:val="20"/>
              </w:rPr>
              <w:t>(specify)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111069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51BEF" w:rsidRDefault="00351BEF" w:rsidP="00086F8C">
            <w:pPr>
              <w:pStyle w:val="BodyText"/>
              <w:spacing w:line="254" w:lineRule="auto"/>
              <w:rPr>
                <w:rFonts w:asciiTheme="minorHAnsi" w:hAnsiTheme="minorHAnsi" w:cstheme="minorHAnsi"/>
                <w:szCs w:val="24"/>
              </w:rPr>
            </w:pPr>
            <w:r w:rsidRPr="004702F1">
              <w:rPr>
                <w:rFonts w:asciiTheme="minorHAnsi" w:hAnsiTheme="minorHAnsi" w:cstheme="minorHAnsi"/>
                <w:szCs w:val="24"/>
              </w:rPr>
              <w:t>………………………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:rsidR="00351BEF" w:rsidRPr="00C437B1" w:rsidRDefault="00351BEF" w:rsidP="00086F8C">
            <w:pPr>
              <w:pStyle w:val="BodyText"/>
              <w:spacing w:line="254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……………………….</w:t>
            </w:r>
          </w:p>
        </w:tc>
      </w:tr>
      <w:tr w:rsidR="00351BEF" w:rsidTr="00086F8C">
        <w:tc>
          <w:tcPr>
            <w:tcW w:w="3369" w:type="dxa"/>
            <w:shd w:val="clear" w:color="auto" w:fill="FDE9D9" w:themeFill="accent6" w:themeFillTint="33"/>
          </w:tcPr>
          <w:p w:rsidR="00351BEF" w:rsidRPr="0053705C" w:rsidRDefault="00351BEF" w:rsidP="00086F8C">
            <w:pPr>
              <w:pStyle w:val="BodyText"/>
              <w:spacing w:line="254" w:lineRule="auto"/>
              <w:rPr>
                <w:b/>
                <w:szCs w:val="24"/>
              </w:rPr>
            </w:pPr>
            <w:r>
              <w:rPr>
                <w:b/>
              </w:rPr>
              <w:lastRenderedPageBreak/>
              <w:t xml:space="preserve">Red flags </w:t>
            </w:r>
            <w:r w:rsidRPr="0053705C">
              <w:rPr>
                <w:sz w:val="16"/>
                <w:szCs w:val="16"/>
              </w:rPr>
              <w:t>(delete as appropriate)</w:t>
            </w:r>
            <w:r>
              <w:rPr>
                <w:b/>
                <w:szCs w:val="24"/>
              </w:rPr>
              <w:t>:</w:t>
            </w:r>
          </w:p>
          <w:p w:rsidR="00351BEF" w:rsidRPr="00675343" w:rsidRDefault="00351BEF" w:rsidP="00086F8C">
            <w:pPr>
              <w:pStyle w:val="BodyText"/>
              <w:spacing w:line="254" w:lineRule="auto"/>
              <w:rPr>
                <w:sz w:val="22"/>
                <w:szCs w:val="22"/>
              </w:rPr>
            </w:pPr>
            <w:r w:rsidRPr="00675343">
              <w:rPr>
                <w:sz w:val="22"/>
                <w:szCs w:val="22"/>
              </w:rPr>
              <w:t>Focal seizure Y</w:t>
            </w:r>
            <w:sdt>
              <w:sdtPr>
                <w:rPr>
                  <w:sz w:val="22"/>
                  <w:szCs w:val="22"/>
                </w:rPr>
                <w:id w:val="-178996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75343">
              <w:rPr>
                <w:sz w:val="22"/>
                <w:szCs w:val="22"/>
              </w:rPr>
              <w:t>/N</w:t>
            </w:r>
            <w:sdt>
              <w:sdtPr>
                <w:rPr>
                  <w:sz w:val="22"/>
                  <w:szCs w:val="22"/>
                </w:rPr>
                <w:id w:val="-70909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51BEF" w:rsidRPr="00675343" w:rsidRDefault="00351BEF" w:rsidP="00086F8C">
            <w:pPr>
              <w:pStyle w:val="BodyText"/>
              <w:spacing w:line="254" w:lineRule="auto"/>
              <w:rPr>
                <w:sz w:val="22"/>
                <w:szCs w:val="22"/>
              </w:rPr>
            </w:pPr>
            <w:r w:rsidRPr="00675343">
              <w:rPr>
                <w:sz w:val="22"/>
                <w:szCs w:val="22"/>
              </w:rPr>
              <w:t>Focal neurology Y</w:t>
            </w:r>
            <w:sdt>
              <w:sdtPr>
                <w:rPr>
                  <w:sz w:val="22"/>
                  <w:szCs w:val="22"/>
                </w:rPr>
                <w:id w:val="179370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75343">
              <w:rPr>
                <w:sz w:val="22"/>
                <w:szCs w:val="22"/>
              </w:rPr>
              <w:t>/N</w:t>
            </w:r>
            <w:sdt>
              <w:sdtPr>
                <w:rPr>
                  <w:sz w:val="22"/>
                  <w:szCs w:val="22"/>
                </w:rPr>
                <w:id w:val="-85148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51BEF" w:rsidRPr="00675343" w:rsidRDefault="00351BEF" w:rsidP="00086F8C">
            <w:pPr>
              <w:pStyle w:val="BodyText"/>
              <w:spacing w:line="254" w:lineRule="auto"/>
              <w:rPr>
                <w:sz w:val="22"/>
                <w:szCs w:val="22"/>
              </w:rPr>
            </w:pPr>
            <w:r w:rsidRPr="00675343">
              <w:rPr>
                <w:sz w:val="22"/>
                <w:szCs w:val="22"/>
              </w:rPr>
              <w:t>Head injury Y</w:t>
            </w:r>
            <w:sdt>
              <w:sdtPr>
                <w:rPr>
                  <w:sz w:val="22"/>
                  <w:szCs w:val="22"/>
                </w:rPr>
                <w:id w:val="-174240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75343">
              <w:rPr>
                <w:sz w:val="22"/>
                <w:szCs w:val="22"/>
              </w:rPr>
              <w:t>/N</w:t>
            </w:r>
            <w:sdt>
              <w:sdtPr>
                <w:rPr>
                  <w:sz w:val="22"/>
                  <w:szCs w:val="22"/>
                </w:rPr>
                <w:id w:val="-305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51BEF" w:rsidRPr="00675343" w:rsidRDefault="00351BEF" w:rsidP="00086F8C">
            <w:pPr>
              <w:pStyle w:val="BodyText"/>
              <w:spacing w:line="254" w:lineRule="auto"/>
              <w:rPr>
                <w:sz w:val="22"/>
                <w:szCs w:val="22"/>
              </w:rPr>
            </w:pPr>
            <w:r w:rsidRPr="00675343">
              <w:rPr>
                <w:sz w:val="22"/>
                <w:szCs w:val="22"/>
              </w:rPr>
              <w:t>Hypoglycaemia Y</w:t>
            </w:r>
            <w:sdt>
              <w:sdtPr>
                <w:rPr>
                  <w:sz w:val="22"/>
                  <w:szCs w:val="22"/>
                </w:rPr>
                <w:id w:val="-118389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75343">
              <w:rPr>
                <w:sz w:val="22"/>
                <w:szCs w:val="22"/>
              </w:rPr>
              <w:t>/N</w:t>
            </w:r>
            <w:sdt>
              <w:sdtPr>
                <w:rPr>
                  <w:sz w:val="22"/>
                  <w:szCs w:val="22"/>
                </w:rPr>
                <w:id w:val="-43798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51BEF" w:rsidRPr="00675343" w:rsidRDefault="00351BEF" w:rsidP="00086F8C">
            <w:pPr>
              <w:pStyle w:val="BodyText"/>
              <w:spacing w:line="254" w:lineRule="auto"/>
              <w:rPr>
                <w:sz w:val="22"/>
                <w:szCs w:val="22"/>
              </w:rPr>
            </w:pPr>
            <w:r w:rsidRPr="00675343">
              <w:rPr>
                <w:sz w:val="22"/>
                <w:szCs w:val="22"/>
              </w:rPr>
              <w:t>Febrile/clinically unwell Y</w:t>
            </w:r>
            <w:sdt>
              <w:sdtPr>
                <w:rPr>
                  <w:sz w:val="22"/>
                  <w:szCs w:val="22"/>
                </w:rPr>
                <w:id w:val="-138425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75343">
              <w:rPr>
                <w:sz w:val="22"/>
                <w:szCs w:val="22"/>
              </w:rPr>
              <w:t>/N</w:t>
            </w:r>
            <w:sdt>
              <w:sdtPr>
                <w:rPr>
                  <w:sz w:val="22"/>
                  <w:szCs w:val="22"/>
                </w:rPr>
                <w:id w:val="92885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51BEF" w:rsidRPr="00675343" w:rsidRDefault="00351BEF" w:rsidP="00086F8C">
            <w:pPr>
              <w:pStyle w:val="BodyText"/>
              <w:spacing w:line="254" w:lineRule="auto"/>
              <w:rPr>
                <w:sz w:val="20"/>
              </w:rPr>
            </w:pPr>
            <w:r w:rsidRPr="00675343">
              <w:rPr>
                <w:sz w:val="20"/>
              </w:rPr>
              <w:t>Abnormal cardiac exam Y</w:t>
            </w:r>
            <w:sdt>
              <w:sdtPr>
                <w:rPr>
                  <w:sz w:val="20"/>
                </w:rPr>
                <w:id w:val="180119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75343">
              <w:rPr>
                <w:sz w:val="20"/>
              </w:rPr>
              <w:t>/N</w:t>
            </w:r>
            <w:sdt>
              <w:sdtPr>
                <w:rPr>
                  <w:sz w:val="20"/>
                </w:rPr>
                <w:id w:val="192306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633" w:type="dxa"/>
            <w:shd w:val="clear" w:color="auto" w:fill="FDE9D9" w:themeFill="accent6" w:themeFillTint="33"/>
          </w:tcPr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</w:p>
          <w:p w:rsidR="00351BEF" w:rsidRPr="00675343" w:rsidRDefault="00351BEF" w:rsidP="00086F8C">
            <w:pPr>
              <w:pStyle w:val="BodyText"/>
              <w:spacing w:line="254" w:lineRule="auto"/>
              <w:rPr>
                <w:sz w:val="22"/>
                <w:szCs w:val="22"/>
              </w:rPr>
            </w:pPr>
            <w:r w:rsidRPr="00675343">
              <w:rPr>
                <w:sz w:val="22"/>
                <w:szCs w:val="22"/>
              </w:rPr>
              <w:t>&lt; 1 year of age Y</w:t>
            </w:r>
            <w:sdt>
              <w:sdtPr>
                <w:rPr>
                  <w:sz w:val="22"/>
                  <w:szCs w:val="22"/>
                </w:rPr>
                <w:id w:val="-128403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75343">
              <w:rPr>
                <w:sz w:val="22"/>
                <w:szCs w:val="22"/>
              </w:rPr>
              <w:t>/N</w:t>
            </w:r>
            <w:sdt>
              <w:sdtPr>
                <w:rPr>
                  <w:sz w:val="22"/>
                  <w:szCs w:val="22"/>
                </w:rPr>
                <w:id w:val="-30732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51BEF" w:rsidRPr="00675343" w:rsidRDefault="00351BEF" w:rsidP="00086F8C">
            <w:pPr>
              <w:pStyle w:val="BodyText"/>
              <w:spacing w:line="254" w:lineRule="auto"/>
              <w:rPr>
                <w:sz w:val="20"/>
              </w:rPr>
            </w:pPr>
            <w:r w:rsidRPr="00675343">
              <w:rPr>
                <w:sz w:val="20"/>
              </w:rPr>
              <w:t>Previous seizures</w:t>
            </w:r>
            <w:r w:rsidRPr="00675343">
              <w:rPr>
                <w:sz w:val="22"/>
                <w:szCs w:val="22"/>
              </w:rPr>
              <w:t xml:space="preserve"> </w:t>
            </w:r>
            <w:r w:rsidRPr="00675343">
              <w:rPr>
                <w:sz w:val="20"/>
              </w:rPr>
              <w:t>Y</w:t>
            </w:r>
            <w:sdt>
              <w:sdtPr>
                <w:rPr>
                  <w:sz w:val="20"/>
                </w:rPr>
                <w:id w:val="22257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75343">
              <w:rPr>
                <w:sz w:val="20"/>
              </w:rPr>
              <w:t>/N</w:t>
            </w:r>
            <w:sdt>
              <w:sdtPr>
                <w:rPr>
                  <w:sz w:val="20"/>
                </w:rPr>
                <w:id w:val="74237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51BEF" w:rsidRPr="00675343" w:rsidRDefault="00351BEF" w:rsidP="00086F8C">
            <w:pPr>
              <w:pStyle w:val="BodyText"/>
              <w:spacing w:line="254" w:lineRule="auto"/>
              <w:rPr>
                <w:sz w:val="22"/>
                <w:szCs w:val="22"/>
              </w:rPr>
            </w:pPr>
            <w:r w:rsidRPr="00675343">
              <w:rPr>
                <w:sz w:val="22"/>
                <w:szCs w:val="22"/>
              </w:rPr>
              <w:t>Medication required for termination of seizure</w:t>
            </w:r>
            <w:r>
              <w:rPr>
                <w:sz w:val="22"/>
                <w:szCs w:val="22"/>
              </w:rPr>
              <w:t xml:space="preserve">  </w:t>
            </w:r>
            <w:r w:rsidRPr="00675343">
              <w:rPr>
                <w:sz w:val="22"/>
                <w:szCs w:val="22"/>
              </w:rPr>
              <w:t xml:space="preserve"> Y</w:t>
            </w:r>
            <w:sdt>
              <w:sdtPr>
                <w:rPr>
                  <w:sz w:val="22"/>
                  <w:szCs w:val="22"/>
                </w:rPr>
                <w:id w:val="34552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75343">
              <w:rPr>
                <w:sz w:val="22"/>
                <w:szCs w:val="22"/>
              </w:rPr>
              <w:t>/N</w:t>
            </w:r>
            <w:sdt>
              <w:sdtPr>
                <w:rPr>
                  <w:sz w:val="22"/>
                  <w:szCs w:val="22"/>
                </w:rPr>
                <w:id w:val="-16054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51BEF" w:rsidRPr="00675343" w:rsidRDefault="00351BEF" w:rsidP="00086F8C">
            <w:pPr>
              <w:pStyle w:val="BodyText"/>
              <w:spacing w:line="254" w:lineRule="auto"/>
              <w:rPr>
                <w:sz w:val="20"/>
              </w:rPr>
            </w:pPr>
            <w:r w:rsidRPr="00675343">
              <w:rPr>
                <w:sz w:val="20"/>
              </w:rPr>
              <w:t>Seizure &gt; 10mins Y</w:t>
            </w:r>
            <w:sdt>
              <w:sdtPr>
                <w:rPr>
                  <w:sz w:val="20"/>
                </w:rPr>
                <w:id w:val="-159184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75343">
              <w:rPr>
                <w:sz w:val="20"/>
              </w:rPr>
              <w:t>/N</w:t>
            </w:r>
            <w:sdt>
              <w:sdtPr>
                <w:rPr>
                  <w:sz w:val="20"/>
                </w:rPr>
                <w:id w:val="-75759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51BEF" w:rsidRPr="00675343" w:rsidRDefault="00351BEF" w:rsidP="00086F8C">
            <w:pPr>
              <w:pStyle w:val="BodyText"/>
              <w:spacing w:line="254" w:lineRule="auto"/>
              <w:rPr>
                <w:sz w:val="22"/>
                <w:szCs w:val="22"/>
              </w:rPr>
            </w:pPr>
            <w:r w:rsidRPr="00675343">
              <w:rPr>
                <w:sz w:val="22"/>
                <w:szCs w:val="22"/>
              </w:rPr>
              <w:t xml:space="preserve">Incomplete recovery </w:t>
            </w:r>
            <w:r>
              <w:rPr>
                <w:sz w:val="22"/>
                <w:szCs w:val="22"/>
              </w:rPr>
              <w:t xml:space="preserve">    </w:t>
            </w:r>
            <w:r w:rsidRPr="00675343">
              <w:rPr>
                <w:sz w:val="22"/>
                <w:szCs w:val="22"/>
              </w:rPr>
              <w:t>Y</w:t>
            </w:r>
            <w:sdt>
              <w:sdtPr>
                <w:rPr>
                  <w:sz w:val="22"/>
                  <w:szCs w:val="22"/>
                </w:rPr>
                <w:id w:val="17839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75343">
              <w:rPr>
                <w:sz w:val="22"/>
                <w:szCs w:val="22"/>
              </w:rPr>
              <w:t>/N</w:t>
            </w:r>
            <w:sdt>
              <w:sdtPr>
                <w:rPr>
                  <w:sz w:val="22"/>
                  <w:szCs w:val="22"/>
                </w:rPr>
                <w:id w:val="-178233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02" w:type="dxa"/>
            <w:shd w:val="clear" w:color="auto" w:fill="FDE9D9" w:themeFill="accent6" w:themeFillTint="33"/>
          </w:tcPr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</w:p>
          <w:p w:rsidR="00351BEF" w:rsidRPr="00675343" w:rsidRDefault="00351BEF" w:rsidP="00086F8C">
            <w:pPr>
              <w:pStyle w:val="BodyText"/>
              <w:spacing w:line="254" w:lineRule="auto"/>
              <w:rPr>
                <w:sz w:val="22"/>
                <w:szCs w:val="22"/>
              </w:rPr>
            </w:pPr>
            <w:r w:rsidRPr="00675343">
              <w:rPr>
                <w:sz w:val="22"/>
                <w:szCs w:val="22"/>
              </w:rPr>
              <w:t>VP shunt in situ Y</w:t>
            </w:r>
            <w:sdt>
              <w:sdtPr>
                <w:rPr>
                  <w:sz w:val="22"/>
                  <w:szCs w:val="22"/>
                </w:rPr>
                <w:id w:val="21121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75343">
              <w:rPr>
                <w:sz w:val="22"/>
                <w:szCs w:val="22"/>
              </w:rPr>
              <w:t>/N</w:t>
            </w:r>
            <w:sdt>
              <w:sdtPr>
                <w:rPr>
                  <w:sz w:val="22"/>
                  <w:szCs w:val="22"/>
                </w:rPr>
                <w:id w:val="154934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51BEF" w:rsidRPr="00675343" w:rsidRDefault="00351BEF" w:rsidP="00086F8C">
            <w:pPr>
              <w:pStyle w:val="BodyText"/>
              <w:spacing w:line="254" w:lineRule="auto"/>
              <w:rPr>
                <w:sz w:val="22"/>
                <w:szCs w:val="22"/>
              </w:rPr>
            </w:pPr>
            <w:r w:rsidRPr="00675343">
              <w:rPr>
                <w:sz w:val="22"/>
                <w:szCs w:val="22"/>
              </w:rPr>
              <w:t>Known medical comorbidity Y</w:t>
            </w:r>
            <w:sdt>
              <w:sdtPr>
                <w:rPr>
                  <w:sz w:val="22"/>
                  <w:szCs w:val="22"/>
                </w:rPr>
                <w:id w:val="168848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75343">
              <w:rPr>
                <w:sz w:val="22"/>
                <w:szCs w:val="22"/>
              </w:rPr>
              <w:t>/N</w:t>
            </w:r>
            <w:sdt>
              <w:sdtPr>
                <w:rPr>
                  <w:sz w:val="22"/>
                  <w:szCs w:val="22"/>
                </w:rPr>
                <w:id w:val="-131255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51BEF" w:rsidRPr="00675343" w:rsidRDefault="00351BEF" w:rsidP="00086F8C">
            <w:pPr>
              <w:pStyle w:val="BodyText"/>
              <w:spacing w:line="254" w:lineRule="auto"/>
              <w:rPr>
                <w:sz w:val="22"/>
                <w:szCs w:val="22"/>
              </w:rPr>
            </w:pPr>
            <w:r w:rsidRPr="00675343">
              <w:rPr>
                <w:sz w:val="22"/>
                <w:szCs w:val="22"/>
              </w:rPr>
              <w:t>Drug/alcohol use Y</w:t>
            </w:r>
            <w:sdt>
              <w:sdtPr>
                <w:rPr>
                  <w:sz w:val="22"/>
                  <w:szCs w:val="22"/>
                </w:rPr>
                <w:id w:val="-214117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75343">
              <w:rPr>
                <w:sz w:val="22"/>
                <w:szCs w:val="22"/>
              </w:rPr>
              <w:t>/N</w:t>
            </w:r>
            <w:sdt>
              <w:sdtPr>
                <w:rPr>
                  <w:sz w:val="22"/>
                  <w:szCs w:val="22"/>
                </w:rPr>
                <w:id w:val="-16863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51BEF" w:rsidRPr="00675343" w:rsidRDefault="00351BEF" w:rsidP="00086F8C">
            <w:pPr>
              <w:pStyle w:val="BodyText"/>
              <w:spacing w:line="254" w:lineRule="auto"/>
              <w:rPr>
                <w:sz w:val="22"/>
                <w:szCs w:val="22"/>
              </w:rPr>
            </w:pPr>
            <w:r w:rsidRPr="00675343">
              <w:rPr>
                <w:sz w:val="22"/>
                <w:szCs w:val="22"/>
              </w:rPr>
              <w:t>Safeguarding concerns</w:t>
            </w:r>
            <w:r>
              <w:rPr>
                <w:sz w:val="22"/>
                <w:szCs w:val="22"/>
              </w:rPr>
              <w:t xml:space="preserve">      </w:t>
            </w:r>
            <w:r w:rsidRPr="00675343">
              <w:rPr>
                <w:sz w:val="22"/>
                <w:szCs w:val="22"/>
              </w:rPr>
              <w:t xml:space="preserve"> Y</w:t>
            </w:r>
            <w:sdt>
              <w:sdtPr>
                <w:rPr>
                  <w:sz w:val="22"/>
                  <w:szCs w:val="22"/>
                </w:rPr>
                <w:id w:val="-467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75343">
              <w:rPr>
                <w:sz w:val="22"/>
                <w:szCs w:val="22"/>
              </w:rPr>
              <w:t>/N</w:t>
            </w:r>
            <w:sdt>
              <w:sdtPr>
                <w:rPr>
                  <w:sz w:val="22"/>
                  <w:szCs w:val="22"/>
                </w:rPr>
                <w:id w:val="-186104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51BEF" w:rsidTr="00086F8C">
        <w:tc>
          <w:tcPr>
            <w:tcW w:w="3369" w:type="dxa"/>
          </w:tcPr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  <w:r>
              <w:rPr>
                <w:b/>
              </w:rPr>
              <w:t xml:space="preserve">Checklist </w:t>
            </w:r>
            <w:r w:rsidRPr="00675343">
              <w:rPr>
                <w:b/>
                <w:sz w:val="20"/>
              </w:rPr>
              <w:t>(tick to confirm completion):</w:t>
            </w:r>
          </w:p>
          <w:p w:rsidR="00351BEF" w:rsidRPr="00FC51CE" w:rsidRDefault="00351BEF" w:rsidP="00086F8C">
            <w:pPr>
              <w:pStyle w:val="BodyText"/>
              <w:spacing w:line="254" w:lineRule="auto"/>
              <w:rPr>
                <w:b/>
                <w:szCs w:val="24"/>
              </w:rPr>
            </w:pPr>
            <w:r w:rsidRPr="00A43EB0">
              <w:t>ECG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  <w:szCs w:val="24"/>
                </w:rPr>
                <w:id w:val="103006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351BEF" w:rsidRPr="00A43EB0" w:rsidRDefault="00351BEF" w:rsidP="00086F8C">
            <w:pPr>
              <w:pStyle w:val="BodyText"/>
              <w:spacing w:line="254" w:lineRule="auto"/>
            </w:pPr>
            <w:r w:rsidRPr="00A43EB0">
              <w:t xml:space="preserve">Manual calculation of </w:t>
            </w:r>
            <w:proofErr w:type="spellStart"/>
            <w:r w:rsidRPr="00A43EB0">
              <w:t>QTc</w:t>
            </w:r>
            <w:proofErr w:type="spellEnd"/>
            <w:r w:rsidRPr="00A43EB0">
              <w:t>:</w:t>
            </w:r>
          </w:p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  <w:r>
              <w:rPr>
                <w:b/>
              </w:rPr>
              <w:t>………………………………</w:t>
            </w:r>
          </w:p>
        </w:tc>
        <w:tc>
          <w:tcPr>
            <w:tcW w:w="2633" w:type="dxa"/>
          </w:tcPr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</w:p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  <w:r w:rsidRPr="00A43EB0">
              <w:t>Safety issues discussed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Cs w:val="24"/>
                </w:rPr>
                <w:id w:val="5814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  <w:r w:rsidRPr="00A43EB0">
              <w:t>First fit leaflet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Cs w:val="24"/>
                </w:rPr>
                <w:id w:val="35854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3002" w:type="dxa"/>
          </w:tcPr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</w:p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  <w:r w:rsidRPr="00A43EB0">
              <w:t xml:space="preserve">Senior in agreement </w:t>
            </w:r>
            <w:r>
              <w:t xml:space="preserve">that </w:t>
            </w:r>
            <w:r w:rsidRPr="00A43EB0">
              <w:t>referral needed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Cs w:val="24"/>
                </w:rPr>
                <w:id w:val="-42611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  <w:r w:rsidRPr="00A43EB0">
              <w:t xml:space="preserve">No red flags </w:t>
            </w:r>
            <w:r>
              <w:rPr>
                <w:sz w:val="20"/>
              </w:rPr>
              <w:t>(see above</w:t>
            </w:r>
            <w:r w:rsidRPr="00A43EB0">
              <w:rPr>
                <w:sz w:val="20"/>
              </w:rPr>
              <w:t>)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-44076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:rsidR="00351BEF" w:rsidRDefault="00351BEF" w:rsidP="00351BEF">
      <w:pPr>
        <w:pStyle w:val="BodyText"/>
        <w:spacing w:line="254" w:lineRule="auto"/>
        <w:rPr>
          <w:b/>
        </w:rPr>
      </w:pPr>
    </w:p>
    <w:p w:rsidR="00351BEF" w:rsidRDefault="00351BEF" w:rsidP="00351BEF">
      <w:pPr>
        <w:pStyle w:val="BodyText"/>
        <w:spacing w:line="254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351BEF" w:rsidTr="00086F8C">
        <w:tc>
          <w:tcPr>
            <w:tcW w:w="9004" w:type="dxa"/>
          </w:tcPr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  <w:r>
              <w:rPr>
                <w:b/>
              </w:rPr>
              <w:t xml:space="preserve">If the completion of this </w:t>
            </w:r>
            <w:proofErr w:type="spellStart"/>
            <w:r>
              <w:rPr>
                <w:b/>
              </w:rPr>
              <w:t>proforma</w:t>
            </w:r>
            <w:proofErr w:type="spellEnd"/>
            <w:r>
              <w:rPr>
                <w:b/>
              </w:rPr>
              <w:t xml:space="preserve"> has been discussed with anyone prior to completion, please document details below:</w:t>
            </w:r>
          </w:p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</w:p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</w:p>
          <w:p w:rsidR="00351BEF" w:rsidRDefault="00351BEF" w:rsidP="00086F8C">
            <w:pPr>
              <w:pStyle w:val="BodyText"/>
              <w:spacing w:line="254" w:lineRule="auto"/>
              <w:rPr>
                <w:b/>
              </w:rPr>
            </w:pPr>
          </w:p>
        </w:tc>
      </w:tr>
    </w:tbl>
    <w:p w:rsidR="00351BEF" w:rsidRDefault="00351BEF" w:rsidP="00351BEF">
      <w:pPr>
        <w:pStyle w:val="BodyText"/>
        <w:spacing w:line="254" w:lineRule="auto"/>
        <w:rPr>
          <w:b/>
        </w:rPr>
      </w:pPr>
    </w:p>
    <w:p w:rsidR="00351BEF" w:rsidRDefault="00351BEF" w:rsidP="00351BEF">
      <w:pPr>
        <w:pStyle w:val="BodyText"/>
        <w:spacing w:line="254" w:lineRule="auto"/>
        <w:rPr>
          <w:b/>
        </w:rPr>
      </w:pPr>
      <w:r>
        <w:rPr>
          <w:b/>
        </w:rPr>
        <w:t>Person completing the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51BEF" w:rsidTr="00351BEF">
        <w:tc>
          <w:tcPr>
            <w:tcW w:w="4621" w:type="dxa"/>
          </w:tcPr>
          <w:p w:rsidR="00351BEF" w:rsidRPr="00351BEF" w:rsidRDefault="00351BEF" w:rsidP="00351BEF">
            <w:pPr>
              <w:pStyle w:val="BodyText"/>
              <w:spacing w:line="254" w:lineRule="auto"/>
              <w:rPr>
                <w:b/>
                <w:sz w:val="22"/>
                <w:szCs w:val="22"/>
              </w:rPr>
            </w:pPr>
            <w:r w:rsidRPr="00351BEF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621" w:type="dxa"/>
          </w:tcPr>
          <w:p w:rsidR="00351BEF" w:rsidRPr="00351BEF" w:rsidRDefault="00351BEF" w:rsidP="00351BEF">
            <w:pPr>
              <w:pStyle w:val="BodyText"/>
              <w:spacing w:line="254" w:lineRule="auto"/>
              <w:rPr>
                <w:b/>
                <w:sz w:val="22"/>
                <w:szCs w:val="22"/>
              </w:rPr>
            </w:pPr>
            <w:r w:rsidRPr="00351BEF">
              <w:rPr>
                <w:b/>
                <w:sz w:val="22"/>
                <w:szCs w:val="22"/>
              </w:rPr>
              <w:t>Role:</w:t>
            </w:r>
          </w:p>
        </w:tc>
      </w:tr>
      <w:tr w:rsidR="00351BEF" w:rsidTr="00351BEF">
        <w:tc>
          <w:tcPr>
            <w:tcW w:w="4621" w:type="dxa"/>
          </w:tcPr>
          <w:p w:rsidR="00351BEF" w:rsidRPr="00351BEF" w:rsidRDefault="00351BEF" w:rsidP="00351BEF">
            <w:pPr>
              <w:pStyle w:val="BodyText"/>
              <w:spacing w:line="254" w:lineRule="auto"/>
              <w:rPr>
                <w:b/>
                <w:sz w:val="22"/>
                <w:szCs w:val="22"/>
              </w:rPr>
            </w:pPr>
            <w:r w:rsidRPr="00351BEF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4621" w:type="dxa"/>
          </w:tcPr>
          <w:p w:rsidR="00351BEF" w:rsidRPr="00351BEF" w:rsidRDefault="00351BEF" w:rsidP="00351BEF">
            <w:pPr>
              <w:pStyle w:val="BodyText"/>
              <w:spacing w:line="254" w:lineRule="auto"/>
              <w:rPr>
                <w:b/>
                <w:sz w:val="22"/>
                <w:szCs w:val="22"/>
              </w:rPr>
            </w:pPr>
            <w:r w:rsidRPr="00351BEF">
              <w:rPr>
                <w:b/>
                <w:sz w:val="22"/>
                <w:szCs w:val="22"/>
              </w:rPr>
              <w:t>Signature:</w:t>
            </w:r>
          </w:p>
        </w:tc>
      </w:tr>
    </w:tbl>
    <w:p w:rsidR="00351BEF" w:rsidRDefault="00351BEF" w:rsidP="00351BEF">
      <w:pPr>
        <w:pStyle w:val="BodyText"/>
        <w:spacing w:line="254" w:lineRule="auto"/>
        <w:rPr>
          <w:b/>
        </w:rPr>
      </w:pPr>
    </w:p>
    <w:p w:rsidR="00351BEF" w:rsidRDefault="00351BEF" w:rsidP="00351BEF">
      <w:pPr>
        <w:pStyle w:val="BodyText"/>
        <w:spacing w:line="254" w:lineRule="auto"/>
        <w:rPr>
          <w:b/>
        </w:rPr>
      </w:pPr>
      <w:r>
        <w:rPr>
          <w:b/>
        </w:rPr>
        <w:t xml:space="preserve">Complete this </w:t>
      </w:r>
      <w:proofErr w:type="spellStart"/>
      <w:r>
        <w:rPr>
          <w:b/>
        </w:rPr>
        <w:t>proforma</w:t>
      </w:r>
      <w:proofErr w:type="spellEnd"/>
      <w:r>
        <w:rPr>
          <w:b/>
        </w:rPr>
        <w:t xml:space="preserve"> and email for further triage to:</w:t>
      </w:r>
    </w:p>
    <w:p w:rsidR="00351BEF" w:rsidRPr="00675343" w:rsidRDefault="00351BEF" w:rsidP="00351BEF">
      <w:pPr>
        <w:pStyle w:val="BodyText"/>
        <w:spacing w:line="254" w:lineRule="auto"/>
        <w:rPr>
          <w:b/>
        </w:rPr>
      </w:pPr>
      <w:r>
        <w:rPr>
          <w:b/>
        </w:rPr>
        <w:t xml:space="preserve"> </w:t>
      </w:r>
      <w:hyperlink r:id="rId6" w:history="1">
        <w:r w:rsidRPr="00B202D8">
          <w:rPr>
            <w:rStyle w:val="Hyperlink"/>
            <w:b/>
          </w:rPr>
          <w:t>ruh-tr.paediatricemergencyclinic@nhs.net</w:t>
        </w:r>
      </w:hyperlink>
    </w:p>
    <w:p w:rsidR="00351BEF" w:rsidRDefault="00351BEF"/>
    <w:p w:rsidR="004A2E2E" w:rsidRDefault="004A2E2E"/>
    <w:p w:rsidR="00351BEF" w:rsidRDefault="00351B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4F4E3" wp14:editId="2D33865A">
                <wp:simplePos x="0" y="0"/>
                <wp:positionH relativeFrom="column">
                  <wp:posOffset>-220980</wp:posOffset>
                </wp:positionH>
                <wp:positionV relativeFrom="paragraph">
                  <wp:posOffset>938530</wp:posOffset>
                </wp:positionV>
                <wp:extent cx="6564630" cy="241300"/>
                <wp:effectExtent l="0" t="0" r="762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EF" w:rsidRPr="00DB524A" w:rsidRDefault="00351BEF" w:rsidP="00351BE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Eve </w:t>
                            </w:r>
                            <w:r w:rsidR="00B24D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Bassett V1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01/07</w:t>
                            </w:r>
                            <w:r w:rsidRPr="00DB52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/2020 </w:t>
                            </w:r>
                            <w:proofErr w:type="gramStart"/>
                            <w:r w:rsidRPr="00DB52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 </w:t>
                            </w:r>
                            <w:r w:rsidR="00B24D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B52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  <w:proofErr w:type="gramEnd"/>
                            <w:r w:rsidRPr="00DB52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30/06/2022                              Approved by Documentation Compliance Group DCG</w:t>
                            </w:r>
                            <w:r w:rsidR="00B24D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4pt;margin-top:73.9pt;width:516.9pt;height: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" fillcolor="white [3201]" stroked="f" strokeweight=".5pt">
                <v:textbox>
                  <w:txbxContent>
                    <w:p w:rsidR="00351BEF" w:rsidRPr="00DB524A" w:rsidRDefault="00351BEF" w:rsidP="00351BE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Eve </w:t>
                      </w:r>
                      <w:r w:rsidR="00B24D80">
                        <w:rPr>
                          <w:rFonts w:ascii="Arial" w:hAnsi="Arial" w:cs="Arial"/>
                          <w:sz w:val="16"/>
                          <w:szCs w:val="16"/>
                        </w:rPr>
                        <w:t>Bassett V1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01/07</w:t>
                      </w:r>
                      <w:r w:rsidRPr="00DB52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/2020 </w:t>
                      </w:r>
                      <w:proofErr w:type="gramStart"/>
                      <w:r w:rsidRPr="00DB52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 </w:t>
                      </w:r>
                      <w:r w:rsidR="00B24D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B524A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  <w:proofErr w:type="gramEnd"/>
                      <w:r w:rsidRPr="00DB52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30/06/2022                              Approved by Documentation Compliance Group DCG</w:t>
                      </w:r>
                      <w:r w:rsidR="00B24D80">
                        <w:rPr>
                          <w:rFonts w:ascii="Arial" w:hAnsi="Arial" w:cs="Arial"/>
                          <w:sz w:val="16"/>
                          <w:szCs w:val="16"/>
                        </w:rPr>
                        <w:t>464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4DD7D" wp14:editId="6EE1B5B6">
                <wp:simplePos x="0" y="0"/>
                <wp:positionH relativeFrom="column">
                  <wp:posOffset>-219075</wp:posOffset>
                </wp:positionH>
                <wp:positionV relativeFrom="paragraph">
                  <wp:posOffset>542290</wp:posOffset>
                </wp:positionV>
                <wp:extent cx="6329680" cy="400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68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EF" w:rsidRPr="00502CA4" w:rsidRDefault="00351BEF" w:rsidP="00351BE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2C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record forms part of a legal document. It must be signed, dated, legible, and filed appropriately in the patient’s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7.25pt;margin-top:42.7pt;width:498.4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" fillcolor="white [3201]" stroked="f" strokeweight=".5pt">
                <v:textbox>
                  <w:txbxContent>
                    <w:p w:rsidR="00351BEF" w:rsidRPr="00502CA4" w:rsidRDefault="00351BEF" w:rsidP="00351BE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2CA4">
                        <w:rPr>
                          <w:rFonts w:ascii="Arial" w:hAnsi="Arial" w:cs="Arial"/>
                          <w:sz w:val="18"/>
                          <w:szCs w:val="18"/>
                        </w:rPr>
                        <w:t>This record forms part of a legal document. It must be signed, dated, legible, and filed appropriately in the patient’s record.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1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ello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EF"/>
    <w:rsid w:val="00351BEF"/>
    <w:rsid w:val="004A2E2E"/>
    <w:rsid w:val="00B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51BEF"/>
    <w:pPr>
      <w:spacing w:after="0" w:line="204" w:lineRule="auto"/>
      <w:ind w:left="-595" w:right="-595"/>
      <w:contextualSpacing/>
    </w:pPr>
    <w:rPr>
      <w:rFonts w:asciiTheme="majorHAnsi" w:eastAsiaTheme="majorEastAsia" w:hAnsiTheme="majorHAnsi" w:cstheme="majorBidi"/>
      <w:color w:val="FFFFFF" w:themeColor="background1"/>
      <w:spacing w:val="-4"/>
      <w:kern w:val="28"/>
      <w:sz w:val="78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351BEF"/>
    <w:rPr>
      <w:rFonts w:asciiTheme="majorHAnsi" w:eastAsiaTheme="majorEastAsia" w:hAnsiTheme="majorHAnsi" w:cstheme="majorBidi"/>
      <w:color w:val="FFFFFF" w:themeColor="background1"/>
      <w:spacing w:val="-4"/>
      <w:kern w:val="28"/>
      <w:sz w:val="78"/>
      <w:szCs w:val="52"/>
      <w:lang w:eastAsia="en-GB"/>
    </w:rPr>
  </w:style>
  <w:style w:type="character" w:styleId="Hyperlink">
    <w:name w:val="Hyperlink"/>
    <w:basedOn w:val="DefaultParagraphFont"/>
    <w:unhideWhenUsed/>
    <w:rsid w:val="00351BE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351BEF"/>
    <w:pPr>
      <w:spacing w:after="180" w:line="259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51BEF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351BE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51BEF"/>
    <w:pPr>
      <w:spacing w:after="0" w:line="204" w:lineRule="auto"/>
      <w:ind w:left="-595" w:right="-595"/>
      <w:contextualSpacing/>
    </w:pPr>
    <w:rPr>
      <w:rFonts w:asciiTheme="majorHAnsi" w:eastAsiaTheme="majorEastAsia" w:hAnsiTheme="majorHAnsi" w:cstheme="majorBidi"/>
      <w:color w:val="FFFFFF" w:themeColor="background1"/>
      <w:spacing w:val="-4"/>
      <w:kern w:val="28"/>
      <w:sz w:val="78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351BEF"/>
    <w:rPr>
      <w:rFonts w:asciiTheme="majorHAnsi" w:eastAsiaTheme="majorEastAsia" w:hAnsiTheme="majorHAnsi" w:cstheme="majorBidi"/>
      <w:color w:val="FFFFFF" w:themeColor="background1"/>
      <w:spacing w:val="-4"/>
      <w:kern w:val="28"/>
      <w:sz w:val="78"/>
      <w:szCs w:val="52"/>
      <w:lang w:eastAsia="en-GB"/>
    </w:rPr>
  </w:style>
  <w:style w:type="character" w:styleId="Hyperlink">
    <w:name w:val="Hyperlink"/>
    <w:basedOn w:val="DefaultParagraphFont"/>
    <w:unhideWhenUsed/>
    <w:rsid w:val="00351BE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351BEF"/>
    <w:pPr>
      <w:spacing w:after="180" w:line="259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51BEF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351BE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h-tr.paediatricemergencyclinic@nhs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Hospitals Bath Foundation Trust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RUH-PC</dc:creator>
  <cp:lastModifiedBy>Information Services</cp:lastModifiedBy>
  <cp:revision>2</cp:revision>
  <dcterms:created xsi:type="dcterms:W3CDTF">2020-07-02T13:29:00Z</dcterms:created>
  <dcterms:modified xsi:type="dcterms:W3CDTF">2020-07-02T13:29:00Z</dcterms:modified>
</cp:coreProperties>
</file>