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92"/>
        <w:gridCol w:w="6956"/>
      </w:tblGrid>
      <w:tr w:rsidR="00A83620" w:rsidRPr="00123098" w:rsidTr="004E0EE7">
        <w:tc>
          <w:tcPr>
            <w:tcW w:w="6992" w:type="dxa"/>
          </w:tcPr>
          <w:p w:rsidR="00A83620" w:rsidRPr="00123098" w:rsidRDefault="00123098" w:rsidP="003218CA">
            <w:pPr>
              <w:rPr>
                <w:rFonts w:ascii="Arial" w:hAnsi="Arial" w:cs="Arial"/>
                <w:sz w:val="20"/>
                <w:szCs w:val="20"/>
              </w:rPr>
            </w:pPr>
            <w:r>
              <w:rPr>
                <w:rFonts w:ascii="Arial" w:hAnsi="Arial" w:cs="Arial"/>
                <w:sz w:val="20"/>
                <w:szCs w:val="20"/>
              </w:rPr>
              <w:t>Department/Location/</w:t>
            </w:r>
            <w:r w:rsidR="007D2848" w:rsidRPr="00123098">
              <w:rPr>
                <w:rFonts w:ascii="Arial" w:hAnsi="Arial" w:cs="Arial"/>
                <w:sz w:val="20"/>
                <w:szCs w:val="20"/>
              </w:rPr>
              <w:t>Project:</w:t>
            </w:r>
            <w:r w:rsidR="007624D4">
              <w:rPr>
                <w:rFonts w:ascii="Arial" w:hAnsi="Arial" w:cs="Arial"/>
                <w:sz w:val="20"/>
                <w:szCs w:val="20"/>
              </w:rPr>
              <w:t xml:space="preserve"> </w:t>
            </w:r>
            <w:r w:rsidR="003218CA">
              <w:rPr>
                <w:rFonts w:ascii="Arial" w:hAnsi="Arial" w:cs="Arial"/>
                <w:sz w:val="20"/>
                <w:szCs w:val="20"/>
              </w:rPr>
              <w:t>RUH, and community settings</w:t>
            </w:r>
          </w:p>
        </w:tc>
        <w:tc>
          <w:tcPr>
            <w:tcW w:w="6956" w:type="dxa"/>
          </w:tcPr>
          <w:p w:rsidR="00A83620" w:rsidRPr="00123098" w:rsidRDefault="00E95D5F" w:rsidP="007624D4">
            <w:pPr>
              <w:rPr>
                <w:rFonts w:ascii="Arial" w:hAnsi="Arial" w:cs="Arial"/>
                <w:sz w:val="20"/>
                <w:szCs w:val="20"/>
              </w:rPr>
            </w:pPr>
            <w:r>
              <w:rPr>
                <w:rFonts w:ascii="Arial" w:hAnsi="Arial" w:cs="Arial"/>
                <w:sz w:val="20"/>
                <w:szCs w:val="20"/>
              </w:rPr>
              <w:t>SOP Document Reference Number:</w:t>
            </w:r>
            <w:r w:rsidR="00176E7E" w:rsidRPr="00123098">
              <w:rPr>
                <w:rFonts w:ascii="Arial" w:hAnsi="Arial" w:cs="Arial"/>
                <w:sz w:val="20"/>
                <w:szCs w:val="20"/>
              </w:rPr>
              <w:t xml:space="preserve"> </w:t>
            </w:r>
            <w:r w:rsidR="003218CA">
              <w:rPr>
                <w:rFonts w:ascii="Arial" w:hAnsi="Arial" w:cs="Arial"/>
                <w:b/>
                <w:sz w:val="20"/>
                <w:szCs w:val="20"/>
              </w:rPr>
              <w:t>SOP/POCT/45 &amp; SOP/POCT/50</w:t>
            </w:r>
          </w:p>
        </w:tc>
      </w:tr>
      <w:tr w:rsidR="00A83620" w:rsidRPr="00123098" w:rsidTr="004E0EE7">
        <w:tc>
          <w:tcPr>
            <w:tcW w:w="6992" w:type="dxa"/>
          </w:tcPr>
          <w:p w:rsidR="00A83620" w:rsidRPr="00123098" w:rsidRDefault="00197D59" w:rsidP="00692653">
            <w:pPr>
              <w:rPr>
                <w:rFonts w:ascii="Arial" w:hAnsi="Arial" w:cs="Arial"/>
                <w:sz w:val="20"/>
                <w:szCs w:val="20"/>
              </w:rPr>
            </w:pPr>
            <w:r w:rsidRPr="00197D59">
              <w:rPr>
                <w:rFonts w:ascii="Arial" w:hAnsi="Arial" w:cs="Arial"/>
                <w:sz w:val="20"/>
                <w:szCs w:val="20"/>
              </w:rPr>
              <w:t>Risk Assessor(s):</w:t>
            </w:r>
            <w:r w:rsidR="007624D4">
              <w:rPr>
                <w:rFonts w:ascii="Arial" w:hAnsi="Arial" w:cs="Arial"/>
                <w:sz w:val="20"/>
                <w:szCs w:val="20"/>
              </w:rPr>
              <w:t xml:space="preserve"> N. Hodges</w:t>
            </w:r>
          </w:p>
        </w:tc>
        <w:tc>
          <w:tcPr>
            <w:tcW w:w="6956" w:type="dxa"/>
          </w:tcPr>
          <w:p w:rsidR="00A83620" w:rsidRPr="00123098" w:rsidRDefault="004E0EE7" w:rsidP="00A83620">
            <w:pPr>
              <w:rPr>
                <w:rFonts w:ascii="Arial" w:hAnsi="Arial" w:cs="Arial"/>
                <w:sz w:val="20"/>
                <w:szCs w:val="20"/>
              </w:rPr>
            </w:pPr>
            <w:r w:rsidRPr="00123098">
              <w:rPr>
                <w:rFonts w:ascii="Arial" w:hAnsi="Arial" w:cs="Arial"/>
                <w:sz w:val="20"/>
                <w:szCs w:val="20"/>
              </w:rPr>
              <w:t>Highest Risk Rating Identified</w:t>
            </w:r>
            <w:r w:rsidR="00BE1BDA">
              <w:rPr>
                <w:rFonts w:ascii="Arial" w:hAnsi="Arial" w:cs="Arial"/>
                <w:sz w:val="20"/>
                <w:szCs w:val="20"/>
              </w:rPr>
              <w:t>*</w:t>
            </w:r>
            <w:r w:rsidRPr="00123098">
              <w:rPr>
                <w:rFonts w:ascii="Arial" w:hAnsi="Arial" w:cs="Arial"/>
                <w:sz w:val="20"/>
                <w:szCs w:val="20"/>
              </w:rPr>
              <w:t>:</w:t>
            </w:r>
            <w:r w:rsidR="00293847">
              <w:rPr>
                <w:rFonts w:ascii="Arial" w:hAnsi="Arial" w:cs="Arial"/>
                <w:sz w:val="20"/>
                <w:szCs w:val="20"/>
              </w:rPr>
              <w:t>15</w:t>
            </w:r>
          </w:p>
        </w:tc>
      </w:tr>
      <w:tr w:rsidR="00A83620" w:rsidRPr="00123098" w:rsidTr="004E0EE7">
        <w:tc>
          <w:tcPr>
            <w:tcW w:w="6992" w:type="dxa"/>
          </w:tcPr>
          <w:p w:rsidR="00A83620" w:rsidRPr="00123098" w:rsidRDefault="00197D59" w:rsidP="003218CA">
            <w:pPr>
              <w:rPr>
                <w:rFonts w:ascii="Arial" w:hAnsi="Arial" w:cs="Arial"/>
                <w:sz w:val="20"/>
                <w:szCs w:val="20"/>
              </w:rPr>
            </w:pPr>
            <w:r>
              <w:rPr>
                <w:rFonts w:ascii="Arial" w:hAnsi="Arial" w:cs="Arial"/>
                <w:sz w:val="20"/>
                <w:szCs w:val="20"/>
              </w:rPr>
              <w:t>Date of assessment</w:t>
            </w:r>
            <w:r w:rsidRPr="00123098">
              <w:rPr>
                <w:rFonts w:ascii="Arial" w:hAnsi="Arial" w:cs="Arial"/>
                <w:sz w:val="20"/>
                <w:szCs w:val="20"/>
              </w:rPr>
              <w:t>:</w:t>
            </w:r>
            <w:r w:rsidR="003218CA">
              <w:rPr>
                <w:rFonts w:ascii="Arial" w:hAnsi="Arial" w:cs="Arial"/>
                <w:sz w:val="20"/>
                <w:szCs w:val="20"/>
              </w:rPr>
              <w:t xml:space="preserve"> 21</w:t>
            </w:r>
            <w:r w:rsidR="007624D4">
              <w:rPr>
                <w:rFonts w:ascii="Arial" w:hAnsi="Arial" w:cs="Arial"/>
                <w:sz w:val="20"/>
                <w:szCs w:val="20"/>
              </w:rPr>
              <w:t>/10/21</w:t>
            </w:r>
          </w:p>
        </w:tc>
        <w:tc>
          <w:tcPr>
            <w:tcW w:w="6956" w:type="dxa"/>
          </w:tcPr>
          <w:p w:rsidR="00A83620" w:rsidRPr="00123098" w:rsidRDefault="004E0EE7" w:rsidP="00024DA9">
            <w:pPr>
              <w:rPr>
                <w:rFonts w:ascii="Arial" w:hAnsi="Arial" w:cs="Arial"/>
                <w:sz w:val="20"/>
                <w:szCs w:val="20"/>
              </w:rPr>
            </w:pPr>
            <w:r w:rsidRPr="004E0EE7">
              <w:rPr>
                <w:rFonts w:ascii="Arial" w:hAnsi="Arial" w:cs="Arial"/>
                <w:sz w:val="20"/>
                <w:szCs w:val="20"/>
              </w:rPr>
              <w:t>In</w:t>
            </w:r>
            <w:r w:rsidR="00024DA9">
              <w:rPr>
                <w:rFonts w:ascii="Arial" w:hAnsi="Arial" w:cs="Arial"/>
                <w:sz w:val="20"/>
                <w:szCs w:val="20"/>
              </w:rPr>
              <w:t>formed QM of an</w:t>
            </w:r>
            <w:r w:rsidR="00293847">
              <w:rPr>
                <w:rFonts w:ascii="Arial" w:hAnsi="Arial" w:cs="Arial"/>
                <w:sz w:val="20"/>
                <w:szCs w:val="20"/>
              </w:rPr>
              <w:t xml:space="preserve">y Risk Score &gt;9: QM as second approver in </w:t>
            </w:r>
            <w:proofErr w:type="spellStart"/>
            <w:r w:rsidR="00293847">
              <w:rPr>
                <w:rFonts w:ascii="Arial" w:hAnsi="Arial" w:cs="Arial"/>
                <w:sz w:val="20"/>
                <w:szCs w:val="20"/>
              </w:rPr>
              <w:t>qpulse</w:t>
            </w:r>
            <w:proofErr w:type="spellEnd"/>
          </w:p>
        </w:tc>
      </w:tr>
    </w:tbl>
    <w:p w:rsidR="00E15821" w:rsidRPr="00E15821" w:rsidRDefault="00E15821" w:rsidP="00E15821">
      <w:pPr>
        <w:spacing w:after="0"/>
        <w:rPr>
          <w:rFonts w:ascii="Arial" w:hAnsi="Arial" w:cs="Arial"/>
          <w:b/>
          <w:sz w:val="24"/>
          <w:szCs w:val="24"/>
        </w:rPr>
      </w:pPr>
    </w:p>
    <w:p w:rsidR="00E15821" w:rsidRDefault="00E15821" w:rsidP="00E15821">
      <w:pPr>
        <w:spacing w:after="0"/>
        <w:rPr>
          <w:rFonts w:ascii="Arial" w:hAnsi="Arial" w:cs="Arial"/>
          <w:b/>
          <w:sz w:val="20"/>
          <w:szCs w:val="24"/>
        </w:rPr>
      </w:pPr>
      <w:r w:rsidRPr="00E15821">
        <w:rPr>
          <w:rFonts w:ascii="Arial" w:hAnsi="Arial" w:cs="Arial"/>
          <w:b/>
          <w:sz w:val="20"/>
          <w:szCs w:val="24"/>
        </w:rPr>
        <w:t xml:space="preserve">* Any identified risk which has a rating &gt;9 must be communicated </w:t>
      </w:r>
      <w:r w:rsidR="00F742A6">
        <w:rPr>
          <w:rFonts w:ascii="Arial" w:hAnsi="Arial" w:cs="Arial"/>
          <w:b/>
          <w:sz w:val="20"/>
          <w:szCs w:val="24"/>
        </w:rPr>
        <w:t>with</w:t>
      </w:r>
      <w:r w:rsidRPr="00E15821">
        <w:rPr>
          <w:rFonts w:ascii="Arial" w:hAnsi="Arial" w:cs="Arial"/>
          <w:b/>
          <w:sz w:val="20"/>
          <w:szCs w:val="24"/>
        </w:rPr>
        <w:t xml:space="preserve"> the Quality Manager</w:t>
      </w:r>
    </w:p>
    <w:p w:rsidR="00E15821" w:rsidRPr="00E15821" w:rsidRDefault="00E15821" w:rsidP="00E15821">
      <w:pPr>
        <w:spacing w:after="0"/>
        <w:rPr>
          <w:rFonts w:ascii="Arial" w:hAnsi="Arial" w:cs="Arial"/>
          <w:b/>
          <w:sz w:val="20"/>
          <w:szCs w:val="24"/>
        </w:rPr>
      </w:pPr>
    </w:p>
    <w:tbl>
      <w:tblPr>
        <w:tblStyle w:val="TableGrid"/>
        <w:tblW w:w="0" w:type="auto"/>
        <w:tblLayout w:type="fixed"/>
        <w:tblLook w:val="04A0" w:firstRow="1" w:lastRow="0" w:firstColumn="1" w:lastColumn="0" w:noHBand="0" w:noVBand="1"/>
      </w:tblPr>
      <w:tblGrid>
        <w:gridCol w:w="3031"/>
        <w:gridCol w:w="2747"/>
        <w:gridCol w:w="1428"/>
        <w:gridCol w:w="2984"/>
        <w:gridCol w:w="2268"/>
        <w:gridCol w:w="1495"/>
      </w:tblGrid>
      <w:tr w:rsidR="00283DF1" w:rsidRPr="00197D59" w:rsidTr="00E15821">
        <w:trPr>
          <w:tblHeader/>
        </w:trPr>
        <w:tc>
          <w:tcPr>
            <w:tcW w:w="3031"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Description of risk</w:t>
            </w:r>
          </w:p>
        </w:tc>
        <w:tc>
          <w:tcPr>
            <w:tcW w:w="2747"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Existing control/ safe</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System of work</w:t>
            </w:r>
          </w:p>
        </w:tc>
        <w:tc>
          <w:tcPr>
            <w:tcW w:w="1428"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Initial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8C769C">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c>
          <w:tcPr>
            <w:tcW w:w="2984"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What further action is required</w:t>
            </w:r>
          </w:p>
        </w:tc>
        <w:tc>
          <w:tcPr>
            <w:tcW w:w="2268"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Responsible person</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 and target date for completion</w:t>
            </w:r>
          </w:p>
        </w:tc>
        <w:tc>
          <w:tcPr>
            <w:tcW w:w="1495"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Final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283DF1">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r>
    </w:tbl>
    <w:tbl>
      <w:tblPr>
        <w:tblStyle w:val="TableGrid1"/>
        <w:tblW w:w="13953" w:type="dxa"/>
        <w:tblInd w:w="0" w:type="dxa"/>
        <w:tblLayout w:type="fixed"/>
        <w:tblLook w:val="04A0" w:firstRow="1" w:lastRow="0" w:firstColumn="1" w:lastColumn="0" w:noHBand="0" w:noVBand="1"/>
      </w:tblPr>
      <w:tblGrid>
        <w:gridCol w:w="3031"/>
        <w:gridCol w:w="2747"/>
        <w:gridCol w:w="439"/>
        <w:gridCol w:w="439"/>
        <w:gridCol w:w="550"/>
        <w:gridCol w:w="2984"/>
        <w:gridCol w:w="2268"/>
        <w:gridCol w:w="458"/>
        <w:gridCol w:w="458"/>
        <w:gridCol w:w="579"/>
      </w:tblGrid>
      <w:tr w:rsidR="006F6F95" w:rsidTr="00C04951">
        <w:trPr>
          <w:trHeight w:val="1119"/>
        </w:trPr>
        <w:tc>
          <w:tcPr>
            <w:tcW w:w="3031" w:type="dxa"/>
            <w:tcBorders>
              <w:top w:val="single" w:sz="4" w:space="0" w:color="auto"/>
              <w:left w:val="single" w:sz="4" w:space="0" w:color="auto"/>
              <w:bottom w:val="single" w:sz="4" w:space="0" w:color="auto"/>
              <w:right w:val="single" w:sz="4" w:space="0" w:color="auto"/>
            </w:tcBorders>
          </w:tcPr>
          <w:p w:rsidR="006F6F95" w:rsidRPr="006F6F95" w:rsidRDefault="006F6F95" w:rsidP="006F6F95">
            <w:pPr>
              <w:rPr>
                <w:rFonts w:ascii="Arial" w:hAnsi="Arial" w:cs="Arial"/>
                <w:sz w:val="20"/>
                <w:szCs w:val="20"/>
              </w:rPr>
            </w:pPr>
            <w:r w:rsidRPr="006F6F95">
              <w:rPr>
                <w:rFonts w:ascii="Arial" w:hAnsi="Arial" w:cs="Arial"/>
                <w:sz w:val="20"/>
                <w:szCs w:val="20"/>
              </w:rPr>
              <w:t>Sample collection could cause:</w:t>
            </w:r>
          </w:p>
          <w:p w:rsidR="006F6F95" w:rsidRPr="006F6F95" w:rsidRDefault="006F6F95" w:rsidP="006F6F95">
            <w:pPr>
              <w:rPr>
                <w:rFonts w:ascii="Arial" w:hAnsi="Arial" w:cs="Arial"/>
                <w:sz w:val="20"/>
                <w:szCs w:val="20"/>
              </w:rPr>
            </w:pPr>
            <w:r w:rsidRPr="006F6F95">
              <w:rPr>
                <w:rFonts w:ascii="Arial" w:hAnsi="Arial" w:cs="Arial"/>
                <w:sz w:val="20"/>
                <w:szCs w:val="20"/>
              </w:rPr>
              <w:t>-Needle stick injuries</w:t>
            </w:r>
          </w:p>
          <w:p w:rsidR="006F6F95" w:rsidRPr="006F6F95" w:rsidRDefault="006F6F95" w:rsidP="006F6F95">
            <w:pPr>
              <w:rPr>
                <w:rFonts w:ascii="Arial" w:hAnsi="Arial" w:cs="Arial"/>
                <w:sz w:val="20"/>
                <w:szCs w:val="20"/>
              </w:rPr>
            </w:pPr>
            <w:r w:rsidRPr="006F6F95">
              <w:rPr>
                <w:rFonts w:ascii="Arial" w:hAnsi="Arial" w:cs="Arial"/>
                <w:sz w:val="20"/>
                <w:szCs w:val="20"/>
              </w:rPr>
              <w:t>-Infection</w:t>
            </w:r>
          </w:p>
          <w:p w:rsidR="006F6F95" w:rsidRPr="006F6F95" w:rsidRDefault="006F6F95" w:rsidP="006F6F95">
            <w:pPr>
              <w:rPr>
                <w:rFonts w:ascii="Arial" w:hAnsi="Arial" w:cs="Arial"/>
                <w:sz w:val="20"/>
                <w:szCs w:val="20"/>
              </w:rPr>
            </w:pPr>
            <w:r w:rsidRPr="006F6F95">
              <w:rPr>
                <w:rFonts w:ascii="Arial" w:hAnsi="Arial" w:cs="Arial"/>
                <w:sz w:val="20"/>
                <w:szCs w:val="20"/>
              </w:rPr>
              <w:t>-Blood spillages due to puncture wounds</w:t>
            </w:r>
          </w:p>
          <w:p w:rsidR="006F6F95" w:rsidRDefault="006F6F95" w:rsidP="006F6F95">
            <w:pPr>
              <w:rPr>
                <w:rFonts w:ascii="Arial" w:hAnsi="Arial" w:cs="Arial"/>
                <w:sz w:val="20"/>
                <w:szCs w:val="20"/>
              </w:rPr>
            </w:pPr>
            <w:r w:rsidRPr="006F6F95">
              <w:rPr>
                <w:rFonts w:ascii="Arial" w:hAnsi="Arial" w:cs="Arial"/>
                <w:sz w:val="20"/>
                <w:szCs w:val="20"/>
              </w:rPr>
              <w:t xml:space="preserve"> With a risk to patients and nursing staff of infection and injury.</w:t>
            </w:r>
          </w:p>
        </w:tc>
        <w:tc>
          <w:tcPr>
            <w:tcW w:w="2747" w:type="dxa"/>
            <w:tcBorders>
              <w:top w:val="single" w:sz="4" w:space="0" w:color="auto"/>
              <w:left w:val="single" w:sz="4" w:space="0" w:color="auto"/>
              <w:bottom w:val="single" w:sz="4" w:space="0" w:color="auto"/>
              <w:right w:val="single" w:sz="4" w:space="0" w:color="auto"/>
            </w:tcBorders>
            <w:shd w:val="clear" w:color="auto" w:fill="auto"/>
          </w:tcPr>
          <w:p w:rsidR="006F6F95" w:rsidRDefault="006F6F95" w:rsidP="006F6F95">
            <w:pPr>
              <w:rPr>
                <w:rFonts w:ascii="Arial" w:hAnsi="Arial" w:cs="Arial"/>
                <w:sz w:val="16"/>
                <w:szCs w:val="16"/>
              </w:rPr>
            </w:pPr>
          </w:p>
          <w:p w:rsidR="006F6F95" w:rsidRPr="006F6F95" w:rsidRDefault="006F6F95" w:rsidP="006F6F95">
            <w:pPr>
              <w:numPr>
                <w:ilvl w:val="0"/>
                <w:numId w:val="3"/>
              </w:numPr>
              <w:rPr>
                <w:rFonts w:ascii="Arial" w:hAnsi="Arial" w:cs="Arial"/>
                <w:sz w:val="20"/>
                <w:szCs w:val="20"/>
              </w:rPr>
            </w:pPr>
            <w:r w:rsidRPr="006F6F95">
              <w:rPr>
                <w:rFonts w:ascii="Arial" w:hAnsi="Arial" w:cs="Arial"/>
                <w:sz w:val="20"/>
                <w:szCs w:val="20"/>
              </w:rPr>
              <w:t>Training for use of glucose meters</w:t>
            </w:r>
          </w:p>
          <w:p w:rsidR="006F6F95" w:rsidRPr="006F6F95" w:rsidRDefault="006F6F95" w:rsidP="006F6F95">
            <w:pPr>
              <w:numPr>
                <w:ilvl w:val="0"/>
                <w:numId w:val="3"/>
              </w:numPr>
              <w:rPr>
                <w:rFonts w:ascii="Arial" w:hAnsi="Arial" w:cs="Arial"/>
                <w:sz w:val="20"/>
                <w:szCs w:val="20"/>
              </w:rPr>
            </w:pPr>
            <w:r w:rsidRPr="006F6F95">
              <w:rPr>
                <w:rFonts w:ascii="Arial" w:hAnsi="Arial" w:cs="Arial"/>
                <w:sz w:val="20"/>
                <w:szCs w:val="20"/>
              </w:rPr>
              <w:t>Needle stick injury policy</w:t>
            </w:r>
          </w:p>
          <w:p w:rsidR="006F6F95" w:rsidRPr="006F6F95" w:rsidRDefault="006F6F95" w:rsidP="006F6F95">
            <w:pPr>
              <w:numPr>
                <w:ilvl w:val="0"/>
                <w:numId w:val="3"/>
              </w:numPr>
              <w:rPr>
                <w:rFonts w:ascii="Arial" w:hAnsi="Arial" w:cs="Arial"/>
                <w:sz w:val="20"/>
                <w:szCs w:val="20"/>
              </w:rPr>
            </w:pPr>
            <w:r w:rsidRPr="006F6F95">
              <w:rPr>
                <w:rFonts w:ascii="Arial" w:hAnsi="Arial" w:cs="Arial"/>
                <w:sz w:val="20"/>
                <w:szCs w:val="20"/>
              </w:rPr>
              <w:t>Immunizations</w:t>
            </w:r>
          </w:p>
          <w:p w:rsidR="006F6F95" w:rsidRPr="006F6F95" w:rsidRDefault="006F6F95" w:rsidP="006F6F95">
            <w:pPr>
              <w:numPr>
                <w:ilvl w:val="0"/>
                <w:numId w:val="3"/>
              </w:numPr>
              <w:rPr>
                <w:rFonts w:ascii="Arial" w:hAnsi="Arial" w:cs="Arial"/>
                <w:sz w:val="20"/>
                <w:szCs w:val="20"/>
              </w:rPr>
            </w:pPr>
            <w:smartTag w:uri="urn:schemas-microsoft-com:office:smarttags" w:element="stockticker">
              <w:r w:rsidRPr="006F6F95">
                <w:rPr>
                  <w:rFonts w:ascii="Arial" w:hAnsi="Arial" w:cs="Arial"/>
                  <w:sz w:val="20"/>
                  <w:szCs w:val="20"/>
                </w:rPr>
                <w:t>PPE</w:t>
              </w:r>
            </w:smartTag>
          </w:p>
          <w:p w:rsidR="006F6F95" w:rsidRPr="006F6F95" w:rsidRDefault="006F6F95" w:rsidP="006F6F95">
            <w:pPr>
              <w:numPr>
                <w:ilvl w:val="0"/>
                <w:numId w:val="3"/>
              </w:numPr>
              <w:rPr>
                <w:rFonts w:ascii="Arial" w:hAnsi="Arial" w:cs="Arial"/>
                <w:sz w:val="20"/>
                <w:szCs w:val="20"/>
              </w:rPr>
            </w:pPr>
            <w:r w:rsidRPr="006F6F95">
              <w:rPr>
                <w:rFonts w:ascii="Arial" w:hAnsi="Arial" w:cs="Arial"/>
                <w:sz w:val="20"/>
                <w:szCs w:val="20"/>
              </w:rPr>
              <w:t xml:space="preserve">Sharps Disposal policy </w:t>
            </w:r>
          </w:p>
          <w:p w:rsidR="006F6F95" w:rsidRPr="006F6F95" w:rsidRDefault="006F6F95" w:rsidP="006F6F95">
            <w:pPr>
              <w:numPr>
                <w:ilvl w:val="0"/>
                <w:numId w:val="3"/>
              </w:numPr>
              <w:rPr>
                <w:rFonts w:ascii="Arial" w:hAnsi="Arial" w:cs="Arial"/>
                <w:sz w:val="20"/>
                <w:szCs w:val="20"/>
              </w:rPr>
            </w:pPr>
            <w:r w:rsidRPr="006F6F95">
              <w:rPr>
                <w:rFonts w:ascii="Arial" w:hAnsi="Arial" w:cs="Arial"/>
                <w:sz w:val="20"/>
                <w:szCs w:val="20"/>
              </w:rPr>
              <w:t>Procedure for spillages of body fluids</w:t>
            </w:r>
          </w:p>
          <w:p w:rsidR="006F6F95" w:rsidRPr="006F6F95" w:rsidRDefault="006F6F95" w:rsidP="006F6F95">
            <w:pPr>
              <w:numPr>
                <w:ilvl w:val="0"/>
                <w:numId w:val="3"/>
              </w:numPr>
              <w:rPr>
                <w:rFonts w:ascii="Arial" w:hAnsi="Arial" w:cs="Arial"/>
                <w:sz w:val="20"/>
                <w:szCs w:val="20"/>
              </w:rPr>
            </w:pPr>
            <w:r w:rsidRPr="006F6F95">
              <w:rPr>
                <w:rFonts w:ascii="Arial" w:hAnsi="Arial" w:cs="Arial"/>
                <w:sz w:val="20"/>
                <w:szCs w:val="20"/>
              </w:rPr>
              <w:t>Pathology Health and safety policy</w:t>
            </w:r>
          </w:p>
          <w:p w:rsidR="006F6F95" w:rsidRPr="009335FE" w:rsidRDefault="006F6F95" w:rsidP="006F6F95">
            <w:pPr>
              <w:numPr>
                <w:ilvl w:val="0"/>
                <w:numId w:val="3"/>
              </w:numPr>
              <w:rPr>
                <w:rFonts w:ascii="Arial" w:hAnsi="Arial" w:cs="Arial"/>
                <w:sz w:val="16"/>
                <w:szCs w:val="16"/>
              </w:rPr>
            </w:pPr>
            <w:r w:rsidRPr="006F6F95">
              <w:rPr>
                <w:rFonts w:ascii="Arial" w:hAnsi="Arial" w:cs="Arial"/>
                <w:sz w:val="20"/>
                <w:szCs w:val="20"/>
              </w:rPr>
              <w:t>Training for treatment of wounds.</w:t>
            </w:r>
          </w:p>
        </w:tc>
        <w:tc>
          <w:tcPr>
            <w:tcW w:w="439" w:type="dxa"/>
            <w:tcBorders>
              <w:top w:val="single" w:sz="4" w:space="0" w:color="auto"/>
              <w:left w:val="single" w:sz="4" w:space="0" w:color="auto"/>
              <w:bottom w:val="single" w:sz="4" w:space="0" w:color="auto"/>
              <w:right w:val="single" w:sz="4" w:space="0" w:color="auto"/>
            </w:tcBorders>
            <w:shd w:val="clear" w:color="auto" w:fill="auto"/>
          </w:tcPr>
          <w:p w:rsidR="006F6F95" w:rsidRDefault="006F6F95" w:rsidP="006F6F95">
            <w:pPr>
              <w:jc w:val="center"/>
              <w:rPr>
                <w:rFonts w:ascii="Arial" w:hAnsi="Arial" w:cs="Arial"/>
                <w:sz w:val="20"/>
                <w:szCs w:val="20"/>
              </w:rPr>
            </w:pPr>
          </w:p>
          <w:p w:rsidR="006F6F95" w:rsidRDefault="006F6F95" w:rsidP="006F6F95">
            <w:pPr>
              <w:jc w:val="center"/>
              <w:rPr>
                <w:rFonts w:ascii="Arial" w:hAnsi="Arial" w:cs="Arial"/>
                <w:sz w:val="20"/>
                <w:szCs w:val="20"/>
              </w:rPr>
            </w:pPr>
          </w:p>
          <w:p w:rsidR="006F6F95" w:rsidRPr="00B73ECD" w:rsidRDefault="006F6F95" w:rsidP="006F6F95">
            <w:pPr>
              <w:jc w:val="center"/>
              <w:rPr>
                <w:rFonts w:ascii="Arial" w:hAnsi="Arial" w:cs="Arial"/>
                <w:sz w:val="20"/>
                <w:szCs w:val="20"/>
              </w:rPr>
            </w:pPr>
            <w:r>
              <w:rPr>
                <w:rFonts w:ascii="Arial" w:hAnsi="Arial" w:cs="Arial"/>
                <w:sz w:val="20"/>
                <w:szCs w:val="20"/>
              </w:rPr>
              <w:t>3</w:t>
            </w:r>
          </w:p>
        </w:tc>
        <w:tc>
          <w:tcPr>
            <w:tcW w:w="439" w:type="dxa"/>
            <w:tcBorders>
              <w:top w:val="single" w:sz="4" w:space="0" w:color="auto"/>
              <w:left w:val="single" w:sz="4" w:space="0" w:color="auto"/>
              <w:bottom w:val="single" w:sz="4" w:space="0" w:color="auto"/>
              <w:right w:val="single" w:sz="4" w:space="0" w:color="auto"/>
            </w:tcBorders>
            <w:shd w:val="clear" w:color="auto" w:fill="auto"/>
          </w:tcPr>
          <w:p w:rsidR="006F6F95" w:rsidRDefault="006F6F95" w:rsidP="006F6F95">
            <w:pPr>
              <w:jc w:val="center"/>
              <w:rPr>
                <w:rFonts w:ascii="Arial" w:hAnsi="Arial" w:cs="Arial"/>
                <w:sz w:val="20"/>
                <w:szCs w:val="20"/>
              </w:rPr>
            </w:pPr>
          </w:p>
          <w:p w:rsidR="006F6F95" w:rsidRDefault="006F6F95" w:rsidP="006F6F95">
            <w:pPr>
              <w:jc w:val="center"/>
              <w:rPr>
                <w:rFonts w:ascii="Arial" w:hAnsi="Arial" w:cs="Arial"/>
                <w:sz w:val="20"/>
                <w:szCs w:val="20"/>
              </w:rPr>
            </w:pPr>
          </w:p>
          <w:p w:rsidR="006F6F95" w:rsidRPr="00B73ECD" w:rsidRDefault="006F6F95" w:rsidP="006F6F95">
            <w:pPr>
              <w:jc w:val="center"/>
              <w:rPr>
                <w:rFonts w:ascii="Arial" w:hAnsi="Arial" w:cs="Arial"/>
                <w:sz w:val="20"/>
                <w:szCs w:val="20"/>
              </w:rPr>
            </w:pPr>
            <w:r>
              <w:rPr>
                <w:rFonts w:ascii="Arial" w:hAnsi="Arial" w:cs="Arial"/>
                <w:sz w:val="20"/>
                <w:szCs w:val="20"/>
              </w:rPr>
              <w:t>2</w:t>
            </w: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6F6F95" w:rsidRDefault="006F6F95" w:rsidP="006F6F95">
            <w:pPr>
              <w:jc w:val="center"/>
              <w:rPr>
                <w:rFonts w:ascii="Arial" w:hAnsi="Arial" w:cs="Arial"/>
                <w:sz w:val="20"/>
                <w:szCs w:val="20"/>
              </w:rPr>
            </w:pPr>
          </w:p>
          <w:p w:rsidR="006F6F95" w:rsidRDefault="006F6F95" w:rsidP="006F6F95">
            <w:pPr>
              <w:jc w:val="center"/>
              <w:rPr>
                <w:rFonts w:ascii="Arial" w:hAnsi="Arial" w:cs="Arial"/>
                <w:sz w:val="20"/>
                <w:szCs w:val="20"/>
              </w:rPr>
            </w:pPr>
          </w:p>
          <w:p w:rsidR="006F6F95" w:rsidRDefault="006F6F95" w:rsidP="006F6F95">
            <w:pPr>
              <w:jc w:val="center"/>
              <w:rPr>
                <w:rFonts w:ascii="Arial" w:hAnsi="Arial" w:cs="Arial"/>
                <w:sz w:val="20"/>
                <w:szCs w:val="20"/>
              </w:rPr>
            </w:pPr>
            <w:r>
              <w:rPr>
                <w:rFonts w:ascii="Arial" w:hAnsi="Arial" w:cs="Arial"/>
                <w:sz w:val="20"/>
                <w:szCs w:val="20"/>
              </w:rPr>
              <w:t>6</w:t>
            </w:r>
          </w:p>
          <w:p w:rsidR="006F6F95" w:rsidRPr="00B73ECD" w:rsidRDefault="006F6F95" w:rsidP="006F6F95">
            <w:pPr>
              <w:rPr>
                <w:rFonts w:ascii="Arial" w:hAnsi="Arial" w:cs="Arial"/>
                <w:sz w:val="20"/>
                <w:szCs w:val="20"/>
              </w:rPr>
            </w:pPr>
          </w:p>
        </w:tc>
        <w:tc>
          <w:tcPr>
            <w:tcW w:w="2984" w:type="dxa"/>
            <w:tcBorders>
              <w:top w:val="single" w:sz="4" w:space="0" w:color="auto"/>
              <w:left w:val="single" w:sz="4" w:space="0" w:color="auto"/>
              <w:bottom w:val="single" w:sz="4" w:space="0" w:color="auto"/>
              <w:right w:val="single" w:sz="4" w:space="0" w:color="auto"/>
            </w:tcBorders>
            <w:vAlign w:val="center"/>
          </w:tcPr>
          <w:p w:rsidR="006F6F95" w:rsidRDefault="006F6F95" w:rsidP="006F6F95">
            <w:pPr>
              <w:rPr>
                <w:rFonts w:ascii="Arial" w:hAnsi="Arial" w:cs="Arial"/>
                <w:sz w:val="20"/>
                <w:szCs w:val="20"/>
              </w:rPr>
            </w:pPr>
            <w:r>
              <w:rPr>
                <w:rFonts w:ascii="Arial" w:hAnsi="Arial" w:cs="Arial"/>
                <w:sz w:val="20"/>
                <w:szCs w:val="20"/>
              </w:rPr>
              <w:t>NA</w:t>
            </w:r>
          </w:p>
        </w:tc>
        <w:tc>
          <w:tcPr>
            <w:tcW w:w="2268" w:type="dxa"/>
            <w:tcBorders>
              <w:top w:val="single" w:sz="4" w:space="0" w:color="auto"/>
              <w:left w:val="single" w:sz="4" w:space="0" w:color="auto"/>
              <w:bottom w:val="single" w:sz="4" w:space="0" w:color="auto"/>
              <w:right w:val="single" w:sz="4" w:space="0" w:color="auto"/>
            </w:tcBorders>
          </w:tcPr>
          <w:p w:rsidR="006F6F95" w:rsidRDefault="006F6F95" w:rsidP="006F6F95">
            <w:pPr>
              <w:rPr>
                <w:b/>
                <w:sz w:val="24"/>
                <w:szCs w:val="24"/>
              </w:rPr>
            </w:pPr>
          </w:p>
        </w:tc>
        <w:tc>
          <w:tcPr>
            <w:tcW w:w="458" w:type="dxa"/>
            <w:tcBorders>
              <w:top w:val="single" w:sz="4" w:space="0" w:color="auto"/>
              <w:left w:val="single" w:sz="4" w:space="0" w:color="auto"/>
              <w:bottom w:val="single" w:sz="4" w:space="0" w:color="auto"/>
              <w:right w:val="single" w:sz="4" w:space="0" w:color="auto"/>
            </w:tcBorders>
          </w:tcPr>
          <w:p w:rsidR="006F6F95" w:rsidRDefault="006F6F95" w:rsidP="006F6F95">
            <w:pPr>
              <w:jc w:val="center"/>
              <w:rPr>
                <w:rFonts w:ascii="Arial" w:hAnsi="Arial" w:cs="Arial"/>
                <w:b/>
                <w:sz w:val="20"/>
                <w:szCs w:val="20"/>
              </w:rPr>
            </w:pPr>
          </w:p>
        </w:tc>
        <w:tc>
          <w:tcPr>
            <w:tcW w:w="458" w:type="dxa"/>
            <w:tcBorders>
              <w:top w:val="single" w:sz="4" w:space="0" w:color="auto"/>
              <w:left w:val="single" w:sz="4" w:space="0" w:color="auto"/>
              <w:bottom w:val="single" w:sz="4" w:space="0" w:color="auto"/>
              <w:right w:val="single" w:sz="4" w:space="0" w:color="auto"/>
            </w:tcBorders>
          </w:tcPr>
          <w:p w:rsidR="006F6F95" w:rsidRDefault="006F6F95" w:rsidP="006F6F95">
            <w:pPr>
              <w:jc w:val="center"/>
              <w:rPr>
                <w:rFonts w:ascii="Arial"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rsidR="006F6F95" w:rsidRDefault="006F6F95" w:rsidP="006F6F95">
            <w:pPr>
              <w:jc w:val="center"/>
              <w:rPr>
                <w:rFonts w:ascii="Arial" w:hAnsi="Arial" w:cs="Arial"/>
                <w:b/>
                <w:sz w:val="20"/>
                <w:szCs w:val="20"/>
              </w:rPr>
            </w:pPr>
          </w:p>
        </w:tc>
      </w:tr>
      <w:tr w:rsidR="006F6F95" w:rsidTr="003218CA">
        <w:trPr>
          <w:trHeight w:val="1048"/>
        </w:trPr>
        <w:tc>
          <w:tcPr>
            <w:tcW w:w="3031" w:type="dxa"/>
            <w:tcBorders>
              <w:top w:val="single" w:sz="4" w:space="0" w:color="auto"/>
              <w:left w:val="single" w:sz="4" w:space="0" w:color="auto"/>
              <w:bottom w:val="single" w:sz="4" w:space="0" w:color="auto"/>
              <w:right w:val="single" w:sz="4" w:space="0" w:color="auto"/>
            </w:tcBorders>
          </w:tcPr>
          <w:p w:rsidR="006F6F95" w:rsidRDefault="006F6F95" w:rsidP="006F6F95">
            <w:pPr>
              <w:rPr>
                <w:rFonts w:ascii="Arial" w:hAnsi="Arial" w:cs="Arial"/>
                <w:sz w:val="20"/>
                <w:szCs w:val="20"/>
              </w:rPr>
            </w:pPr>
            <w:r>
              <w:rPr>
                <w:rFonts w:ascii="Arial" w:hAnsi="Arial" w:cs="Arial"/>
                <w:sz w:val="20"/>
                <w:szCs w:val="20"/>
              </w:rPr>
              <w:t>There is a risk of infection when running the external quality assurance samples to nursing and lab staff.</w:t>
            </w:r>
          </w:p>
        </w:tc>
        <w:tc>
          <w:tcPr>
            <w:tcW w:w="2747" w:type="dxa"/>
            <w:tcBorders>
              <w:top w:val="single" w:sz="4" w:space="0" w:color="auto"/>
              <w:left w:val="single" w:sz="4" w:space="0" w:color="auto"/>
              <w:bottom w:val="single" w:sz="4" w:space="0" w:color="auto"/>
              <w:right w:val="single" w:sz="4" w:space="0" w:color="auto"/>
            </w:tcBorders>
          </w:tcPr>
          <w:p w:rsidR="006F6F95" w:rsidRDefault="006F6F95" w:rsidP="006F6F95">
            <w:pPr>
              <w:rPr>
                <w:rFonts w:ascii="Arial" w:hAnsi="Arial" w:cs="Arial"/>
                <w:sz w:val="16"/>
                <w:szCs w:val="16"/>
              </w:rPr>
            </w:pPr>
          </w:p>
          <w:p w:rsidR="006F6F95" w:rsidRPr="006F6F95" w:rsidRDefault="006F6F95" w:rsidP="006F6F95">
            <w:pPr>
              <w:numPr>
                <w:ilvl w:val="0"/>
                <w:numId w:val="3"/>
              </w:numPr>
              <w:rPr>
                <w:rFonts w:ascii="Arial" w:hAnsi="Arial" w:cs="Arial"/>
                <w:sz w:val="20"/>
                <w:szCs w:val="20"/>
              </w:rPr>
            </w:pPr>
            <w:r w:rsidRPr="006F6F95">
              <w:rPr>
                <w:rFonts w:ascii="Arial" w:hAnsi="Arial" w:cs="Arial"/>
                <w:sz w:val="20"/>
                <w:szCs w:val="20"/>
              </w:rPr>
              <w:t>EQA screened for HIV and Hepatitis</w:t>
            </w:r>
          </w:p>
          <w:p w:rsidR="006F6F95" w:rsidRPr="006F6F95" w:rsidRDefault="006F6F95" w:rsidP="006F6F95">
            <w:pPr>
              <w:numPr>
                <w:ilvl w:val="0"/>
                <w:numId w:val="3"/>
              </w:numPr>
              <w:rPr>
                <w:rFonts w:ascii="Arial" w:hAnsi="Arial" w:cs="Arial"/>
                <w:sz w:val="20"/>
                <w:szCs w:val="20"/>
              </w:rPr>
            </w:pPr>
            <w:r w:rsidRPr="006F6F95">
              <w:rPr>
                <w:rFonts w:ascii="Arial" w:hAnsi="Arial" w:cs="Arial"/>
                <w:sz w:val="20"/>
                <w:szCs w:val="20"/>
              </w:rPr>
              <w:t>PPE</w:t>
            </w:r>
          </w:p>
          <w:p w:rsidR="006F6F95" w:rsidRPr="006F6F95" w:rsidRDefault="006F6F95" w:rsidP="006F6F95">
            <w:pPr>
              <w:numPr>
                <w:ilvl w:val="0"/>
                <w:numId w:val="3"/>
              </w:numPr>
              <w:rPr>
                <w:rFonts w:ascii="Arial" w:hAnsi="Arial" w:cs="Arial"/>
                <w:sz w:val="20"/>
                <w:szCs w:val="20"/>
              </w:rPr>
            </w:pPr>
            <w:r w:rsidRPr="006F6F95">
              <w:rPr>
                <w:rFonts w:ascii="Arial" w:hAnsi="Arial" w:cs="Arial"/>
                <w:sz w:val="20"/>
                <w:szCs w:val="20"/>
              </w:rPr>
              <w:t>Disposal into contaminated waste bins</w:t>
            </w:r>
          </w:p>
          <w:p w:rsidR="006F6F95" w:rsidRPr="009335FE" w:rsidRDefault="006F6F95" w:rsidP="006F6F95">
            <w:pPr>
              <w:ind w:left="360"/>
              <w:rPr>
                <w:rFonts w:ascii="Arial" w:hAnsi="Arial" w:cs="Arial"/>
                <w:sz w:val="16"/>
                <w:szCs w:val="16"/>
              </w:rPr>
            </w:pPr>
          </w:p>
        </w:tc>
        <w:tc>
          <w:tcPr>
            <w:tcW w:w="439" w:type="dxa"/>
            <w:tcBorders>
              <w:top w:val="single" w:sz="4" w:space="0" w:color="auto"/>
              <w:left w:val="single" w:sz="4" w:space="0" w:color="auto"/>
              <w:bottom w:val="single" w:sz="4" w:space="0" w:color="auto"/>
              <w:right w:val="single" w:sz="4" w:space="0" w:color="auto"/>
            </w:tcBorders>
          </w:tcPr>
          <w:p w:rsidR="006F6F95" w:rsidRDefault="006F6F95" w:rsidP="006F6F95">
            <w:pPr>
              <w:jc w:val="center"/>
              <w:rPr>
                <w:rFonts w:ascii="Arial" w:hAnsi="Arial" w:cs="Arial"/>
                <w:sz w:val="20"/>
                <w:szCs w:val="20"/>
              </w:rPr>
            </w:pPr>
          </w:p>
          <w:p w:rsidR="006F6F95" w:rsidRPr="00B73ECD" w:rsidRDefault="006F6F95" w:rsidP="006F6F95">
            <w:pPr>
              <w:jc w:val="center"/>
              <w:rPr>
                <w:rFonts w:ascii="Arial" w:hAnsi="Arial" w:cs="Arial"/>
                <w:sz w:val="20"/>
                <w:szCs w:val="20"/>
              </w:rPr>
            </w:pPr>
            <w:r>
              <w:rPr>
                <w:rFonts w:ascii="Arial" w:hAnsi="Arial" w:cs="Arial"/>
                <w:sz w:val="20"/>
                <w:szCs w:val="20"/>
              </w:rPr>
              <w:t>1</w:t>
            </w:r>
          </w:p>
        </w:tc>
        <w:tc>
          <w:tcPr>
            <w:tcW w:w="439" w:type="dxa"/>
            <w:tcBorders>
              <w:top w:val="single" w:sz="4" w:space="0" w:color="auto"/>
              <w:left w:val="single" w:sz="4" w:space="0" w:color="auto"/>
              <w:bottom w:val="single" w:sz="4" w:space="0" w:color="auto"/>
              <w:right w:val="single" w:sz="4" w:space="0" w:color="auto"/>
            </w:tcBorders>
          </w:tcPr>
          <w:p w:rsidR="006F6F95" w:rsidRDefault="006F6F95" w:rsidP="006F6F95">
            <w:pPr>
              <w:jc w:val="center"/>
              <w:rPr>
                <w:rFonts w:ascii="Arial" w:hAnsi="Arial" w:cs="Arial"/>
                <w:sz w:val="20"/>
                <w:szCs w:val="20"/>
              </w:rPr>
            </w:pPr>
          </w:p>
          <w:p w:rsidR="006F6F95" w:rsidRPr="00B73ECD" w:rsidRDefault="006F6F95" w:rsidP="006F6F95">
            <w:pPr>
              <w:jc w:val="center"/>
              <w:rPr>
                <w:rFonts w:ascii="Arial" w:hAnsi="Arial" w:cs="Arial"/>
                <w:sz w:val="20"/>
                <w:szCs w:val="20"/>
              </w:rPr>
            </w:pPr>
            <w:r>
              <w:rPr>
                <w:rFonts w:ascii="Arial" w:hAnsi="Arial" w:cs="Arial"/>
                <w:sz w:val="20"/>
                <w:szCs w:val="20"/>
              </w:rPr>
              <w:t>1</w:t>
            </w:r>
          </w:p>
        </w:tc>
        <w:tc>
          <w:tcPr>
            <w:tcW w:w="550" w:type="dxa"/>
            <w:tcBorders>
              <w:top w:val="single" w:sz="4" w:space="0" w:color="auto"/>
              <w:left w:val="single" w:sz="4" w:space="0" w:color="auto"/>
              <w:bottom w:val="single" w:sz="4" w:space="0" w:color="auto"/>
              <w:right w:val="single" w:sz="4" w:space="0" w:color="auto"/>
            </w:tcBorders>
          </w:tcPr>
          <w:p w:rsidR="006F6F95" w:rsidRDefault="006F6F95" w:rsidP="006F6F95">
            <w:pPr>
              <w:jc w:val="center"/>
              <w:rPr>
                <w:rFonts w:ascii="Arial" w:hAnsi="Arial" w:cs="Arial"/>
                <w:sz w:val="20"/>
                <w:szCs w:val="20"/>
              </w:rPr>
            </w:pPr>
          </w:p>
          <w:p w:rsidR="006F6F95" w:rsidRPr="00B73ECD" w:rsidRDefault="006F6F95" w:rsidP="006F6F95">
            <w:pPr>
              <w:jc w:val="center"/>
              <w:rPr>
                <w:rFonts w:ascii="Arial" w:hAnsi="Arial" w:cs="Arial"/>
                <w:sz w:val="20"/>
                <w:szCs w:val="20"/>
              </w:rPr>
            </w:pPr>
            <w:r>
              <w:rPr>
                <w:rFonts w:ascii="Arial" w:hAnsi="Arial" w:cs="Arial"/>
                <w:sz w:val="20"/>
                <w:szCs w:val="20"/>
              </w:rPr>
              <w:t>1</w:t>
            </w:r>
          </w:p>
        </w:tc>
        <w:tc>
          <w:tcPr>
            <w:tcW w:w="2984" w:type="dxa"/>
            <w:tcBorders>
              <w:top w:val="single" w:sz="4" w:space="0" w:color="auto"/>
              <w:left w:val="single" w:sz="4" w:space="0" w:color="auto"/>
              <w:bottom w:val="single" w:sz="4" w:space="0" w:color="auto"/>
              <w:right w:val="single" w:sz="4" w:space="0" w:color="auto"/>
            </w:tcBorders>
            <w:vAlign w:val="center"/>
          </w:tcPr>
          <w:p w:rsidR="006F6F95" w:rsidRDefault="006F6F95" w:rsidP="006F6F95">
            <w:pPr>
              <w:rPr>
                <w:rFonts w:ascii="Arial" w:hAnsi="Arial" w:cs="Arial"/>
                <w:sz w:val="20"/>
                <w:szCs w:val="20"/>
              </w:rPr>
            </w:pPr>
            <w:r>
              <w:rPr>
                <w:rFonts w:ascii="Arial" w:hAnsi="Arial" w:cs="Arial"/>
                <w:sz w:val="20"/>
                <w:szCs w:val="20"/>
              </w:rPr>
              <w:t>NA</w:t>
            </w:r>
          </w:p>
        </w:tc>
        <w:tc>
          <w:tcPr>
            <w:tcW w:w="2268" w:type="dxa"/>
            <w:tcBorders>
              <w:top w:val="single" w:sz="4" w:space="0" w:color="auto"/>
              <w:left w:val="single" w:sz="4" w:space="0" w:color="auto"/>
              <w:bottom w:val="single" w:sz="4" w:space="0" w:color="auto"/>
              <w:right w:val="single" w:sz="4" w:space="0" w:color="auto"/>
            </w:tcBorders>
          </w:tcPr>
          <w:p w:rsidR="006F6F95" w:rsidRDefault="006F6F95" w:rsidP="006F6F95">
            <w:pPr>
              <w:rPr>
                <w:b/>
                <w:sz w:val="24"/>
                <w:szCs w:val="24"/>
              </w:rPr>
            </w:pPr>
          </w:p>
        </w:tc>
        <w:tc>
          <w:tcPr>
            <w:tcW w:w="458" w:type="dxa"/>
            <w:tcBorders>
              <w:top w:val="single" w:sz="4" w:space="0" w:color="auto"/>
              <w:left w:val="single" w:sz="4" w:space="0" w:color="auto"/>
              <w:bottom w:val="single" w:sz="4" w:space="0" w:color="auto"/>
              <w:right w:val="single" w:sz="4" w:space="0" w:color="auto"/>
            </w:tcBorders>
          </w:tcPr>
          <w:p w:rsidR="006F6F95" w:rsidRDefault="006F6F95" w:rsidP="006F6F95">
            <w:pPr>
              <w:jc w:val="center"/>
              <w:rPr>
                <w:rFonts w:ascii="Arial" w:hAnsi="Arial" w:cs="Arial"/>
                <w:b/>
                <w:sz w:val="20"/>
                <w:szCs w:val="20"/>
              </w:rPr>
            </w:pPr>
          </w:p>
        </w:tc>
        <w:tc>
          <w:tcPr>
            <w:tcW w:w="458" w:type="dxa"/>
            <w:tcBorders>
              <w:top w:val="single" w:sz="4" w:space="0" w:color="auto"/>
              <w:left w:val="single" w:sz="4" w:space="0" w:color="auto"/>
              <w:bottom w:val="single" w:sz="4" w:space="0" w:color="auto"/>
              <w:right w:val="single" w:sz="4" w:space="0" w:color="auto"/>
            </w:tcBorders>
          </w:tcPr>
          <w:p w:rsidR="006F6F95" w:rsidRDefault="006F6F95" w:rsidP="006F6F95">
            <w:pPr>
              <w:jc w:val="center"/>
              <w:rPr>
                <w:rFonts w:ascii="Arial"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rsidR="006F6F95" w:rsidRDefault="006F6F95" w:rsidP="006F6F95">
            <w:pPr>
              <w:jc w:val="center"/>
              <w:rPr>
                <w:rFonts w:ascii="Arial" w:hAnsi="Arial" w:cs="Arial"/>
                <w:b/>
                <w:sz w:val="20"/>
                <w:szCs w:val="20"/>
              </w:rPr>
            </w:pPr>
          </w:p>
        </w:tc>
      </w:tr>
      <w:tr w:rsidR="006F6F95" w:rsidTr="003218CA">
        <w:trPr>
          <w:trHeight w:val="1368"/>
        </w:trPr>
        <w:tc>
          <w:tcPr>
            <w:tcW w:w="3031" w:type="dxa"/>
            <w:tcBorders>
              <w:top w:val="single" w:sz="4" w:space="0" w:color="auto"/>
              <w:left w:val="single" w:sz="4" w:space="0" w:color="auto"/>
              <w:bottom w:val="single" w:sz="4" w:space="0" w:color="auto"/>
              <w:right w:val="single" w:sz="4" w:space="0" w:color="auto"/>
            </w:tcBorders>
            <w:vAlign w:val="center"/>
          </w:tcPr>
          <w:p w:rsidR="006F6F95" w:rsidRDefault="006F6F95" w:rsidP="006F6F95">
            <w:pPr>
              <w:rPr>
                <w:rFonts w:ascii="Arial" w:hAnsi="Arial" w:cs="Arial"/>
                <w:sz w:val="20"/>
                <w:szCs w:val="20"/>
              </w:rPr>
            </w:pPr>
            <w:r>
              <w:rPr>
                <w:rFonts w:ascii="Arial" w:hAnsi="Arial" w:cs="Arial"/>
                <w:sz w:val="20"/>
                <w:szCs w:val="20"/>
              </w:rPr>
              <w:t xml:space="preserve">There is a risk of results not being interpreted correctly when they fall above or below the action or technical limits, to patient care. A misinterpreted results can lead to inappropriate treatment which may lead to hypo and hyper glycaemic event in a patient. </w:t>
            </w:r>
          </w:p>
        </w:tc>
        <w:tc>
          <w:tcPr>
            <w:tcW w:w="2747" w:type="dxa"/>
            <w:tcBorders>
              <w:top w:val="single" w:sz="4" w:space="0" w:color="auto"/>
              <w:left w:val="single" w:sz="4" w:space="0" w:color="auto"/>
              <w:bottom w:val="single" w:sz="4" w:space="0" w:color="auto"/>
              <w:right w:val="single" w:sz="4" w:space="0" w:color="auto"/>
            </w:tcBorders>
          </w:tcPr>
          <w:p w:rsidR="006F6F95" w:rsidRDefault="006F6F95" w:rsidP="006F6F95">
            <w:pPr>
              <w:numPr>
                <w:ilvl w:val="0"/>
                <w:numId w:val="3"/>
              </w:numPr>
              <w:rPr>
                <w:rFonts w:ascii="Arial" w:hAnsi="Arial" w:cs="Arial"/>
                <w:sz w:val="20"/>
                <w:szCs w:val="20"/>
              </w:rPr>
            </w:pPr>
            <w:r w:rsidRPr="006F6F95">
              <w:rPr>
                <w:rFonts w:ascii="Arial" w:hAnsi="Arial" w:cs="Arial"/>
                <w:sz w:val="20"/>
                <w:szCs w:val="20"/>
              </w:rPr>
              <w:t>A symbol appears on screen if the result is high (&gt;) or if the result is low (&lt;).</w:t>
            </w:r>
          </w:p>
          <w:p w:rsidR="006F6F95" w:rsidRPr="006F6F95" w:rsidRDefault="006F6F95" w:rsidP="006F6F95">
            <w:pPr>
              <w:numPr>
                <w:ilvl w:val="0"/>
                <w:numId w:val="3"/>
              </w:numPr>
              <w:rPr>
                <w:rFonts w:ascii="Arial" w:hAnsi="Arial" w:cs="Arial"/>
                <w:sz w:val="20"/>
                <w:szCs w:val="20"/>
              </w:rPr>
            </w:pPr>
            <w:r w:rsidRPr="006F6F95">
              <w:rPr>
                <w:rFonts w:ascii="Arial" w:hAnsi="Arial" w:cs="Arial"/>
                <w:sz w:val="20"/>
                <w:szCs w:val="20"/>
              </w:rPr>
              <w:t>The meter displays an up or down pointing arrow when the result is above or below the technical limit.</w:t>
            </w:r>
          </w:p>
          <w:p w:rsidR="006F6F95" w:rsidRPr="006F6F95" w:rsidRDefault="006F6F95" w:rsidP="006F6F95">
            <w:pPr>
              <w:numPr>
                <w:ilvl w:val="0"/>
                <w:numId w:val="3"/>
              </w:numPr>
              <w:rPr>
                <w:rFonts w:ascii="Arial" w:hAnsi="Arial" w:cs="Arial"/>
                <w:sz w:val="20"/>
                <w:szCs w:val="20"/>
              </w:rPr>
            </w:pPr>
            <w:r w:rsidRPr="006F6F95">
              <w:rPr>
                <w:rFonts w:ascii="Arial" w:hAnsi="Arial" w:cs="Arial"/>
                <w:sz w:val="20"/>
                <w:szCs w:val="20"/>
              </w:rPr>
              <w:t>Only trained staff can use the meters. How to act on an abnormal result is covered in training and in the competency assessment.</w:t>
            </w:r>
          </w:p>
          <w:p w:rsidR="006F6F95" w:rsidRDefault="006F6F95" w:rsidP="006F6F95">
            <w:pPr>
              <w:numPr>
                <w:ilvl w:val="0"/>
                <w:numId w:val="3"/>
              </w:numPr>
              <w:rPr>
                <w:rFonts w:ascii="Arial" w:hAnsi="Arial" w:cs="Arial"/>
                <w:sz w:val="20"/>
                <w:szCs w:val="20"/>
              </w:rPr>
            </w:pPr>
            <w:r w:rsidRPr="006F6F95">
              <w:rPr>
                <w:rFonts w:ascii="Arial" w:hAnsi="Arial" w:cs="Arial"/>
                <w:sz w:val="20"/>
                <w:szCs w:val="20"/>
              </w:rPr>
              <w:t xml:space="preserve">HCA staff must complete </w:t>
            </w:r>
            <w:r>
              <w:rPr>
                <w:rFonts w:ascii="Arial" w:hAnsi="Arial" w:cs="Arial"/>
                <w:sz w:val="20"/>
                <w:szCs w:val="20"/>
              </w:rPr>
              <w:t>6</w:t>
            </w:r>
            <w:r w:rsidRPr="006F6F95">
              <w:rPr>
                <w:rFonts w:ascii="Arial" w:hAnsi="Arial" w:cs="Arial"/>
                <w:sz w:val="20"/>
                <w:szCs w:val="20"/>
              </w:rPr>
              <w:t xml:space="preserve"> observations before competency is complete.</w:t>
            </w:r>
          </w:p>
          <w:p w:rsidR="006E4BEF" w:rsidRPr="006F6F95" w:rsidRDefault="006E4BEF" w:rsidP="006F6F95">
            <w:pPr>
              <w:numPr>
                <w:ilvl w:val="0"/>
                <w:numId w:val="3"/>
              </w:numPr>
              <w:rPr>
                <w:rFonts w:ascii="Arial" w:hAnsi="Arial" w:cs="Arial"/>
                <w:sz w:val="20"/>
                <w:szCs w:val="20"/>
              </w:rPr>
            </w:pPr>
            <w:r>
              <w:rPr>
                <w:rFonts w:ascii="Arial" w:hAnsi="Arial" w:cs="Arial"/>
                <w:sz w:val="20"/>
                <w:szCs w:val="20"/>
              </w:rPr>
              <w:t>Abnormal results are reviewed regularly by the DSN team.</w:t>
            </w:r>
          </w:p>
        </w:tc>
        <w:tc>
          <w:tcPr>
            <w:tcW w:w="439" w:type="dxa"/>
            <w:tcBorders>
              <w:top w:val="single" w:sz="4" w:space="0" w:color="auto"/>
              <w:left w:val="single" w:sz="4" w:space="0" w:color="auto"/>
              <w:bottom w:val="single" w:sz="4" w:space="0" w:color="auto"/>
              <w:right w:val="single" w:sz="4" w:space="0" w:color="auto"/>
            </w:tcBorders>
          </w:tcPr>
          <w:p w:rsidR="006F6F95" w:rsidRDefault="006F6F95" w:rsidP="006F6F95">
            <w:pPr>
              <w:jc w:val="center"/>
              <w:rPr>
                <w:rFonts w:ascii="Arial" w:hAnsi="Arial" w:cs="Arial"/>
                <w:sz w:val="20"/>
                <w:szCs w:val="20"/>
              </w:rPr>
            </w:pPr>
          </w:p>
          <w:p w:rsidR="006F6F95" w:rsidRPr="00B73ECD" w:rsidRDefault="006F6F95" w:rsidP="006F6F95">
            <w:pPr>
              <w:jc w:val="center"/>
              <w:rPr>
                <w:rFonts w:ascii="Arial" w:hAnsi="Arial" w:cs="Arial"/>
                <w:sz w:val="20"/>
                <w:szCs w:val="20"/>
              </w:rPr>
            </w:pPr>
            <w:r>
              <w:rPr>
                <w:rFonts w:ascii="Arial" w:hAnsi="Arial" w:cs="Arial"/>
                <w:sz w:val="20"/>
                <w:szCs w:val="20"/>
              </w:rPr>
              <w:t>5</w:t>
            </w:r>
          </w:p>
        </w:tc>
        <w:tc>
          <w:tcPr>
            <w:tcW w:w="439" w:type="dxa"/>
            <w:tcBorders>
              <w:top w:val="single" w:sz="4" w:space="0" w:color="auto"/>
              <w:left w:val="single" w:sz="4" w:space="0" w:color="auto"/>
              <w:bottom w:val="single" w:sz="4" w:space="0" w:color="auto"/>
              <w:right w:val="single" w:sz="4" w:space="0" w:color="auto"/>
            </w:tcBorders>
          </w:tcPr>
          <w:p w:rsidR="006F6F95" w:rsidRDefault="006F6F95" w:rsidP="006F6F95">
            <w:pPr>
              <w:jc w:val="center"/>
              <w:rPr>
                <w:rFonts w:ascii="Arial" w:hAnsi="Arial" w:cs="Arial"/>
                <w:sz w:val="20"/>
                <w:szCs w:val="20"/>
              </w:rPr>
            </w:pPr>
          </w:p>
          <w:p w:rsidR="006F6F95" w:rsidRPr="00B73ECD" w:rsidRDefault="006E4BEF" w:rsidP="006F6F95">
            <w:pPr>
              <w:jc w:val="center"/>
              <w:rPr>
                <w:rFonts w:ascii="Arial" w:hAnsi="Arial" w:cs="Arial"/>
                <w:sz w:val="20"/>
                <w:szCs w:val="20"/>
              </w:rPr>
            </w:pPr>
            <w:r>
              <w:rPr>
                <w:rFonts w:ascii="Arial" w:hAnsi="Arial" w:cs="Arial"/>
                <w:sz w:val="20"/>
                <w:szCs w:val="20"/>
              </w:rPr>
              <w:t>2</w:t>
            </w:r>
          </w:p>
        </w:tc>
        <w:tc>
          <w:tcPr>
            <w:tcW w:w="550" w:type="dxa"/>
            <w:tcBorders>
              <w:top w:val="single" w:sz="4" w:space="0" w:color="auto"/>
              <w:left w:val="single" w:sz="4" w:space="0" w:color="auto"/>
              <w:bottom w:val="single" w:sz="4" w:space="0" w:color="auto"/>
              <w:right w:val="single" w:sz="4" w:space="0" w:color="auto"/>
            </w:tcBorders>
          </w:tcPr>
          <w:p w:rsidR="006F6F95" w:rsidRDefault="006F6F95" w:rsidP="006F6F95">
            <w:pPr>
              <w:jc w:val="center"/>
              <w:rPr>
                <w:rFonts w:ascii="Arial" w:hAnsi="Arial" w:cs="Arial"/>
                <w:sz w:val="20"/>
                <w:szCs w:val="20"/>
              </w:rPr>
            </w:pPr>
          </w:p>
          <w:p w:rsidR="006F6F95" w:rsidRPr="00B73ECD" w:rsidRDefault="006F6F95" w:rsidP="006E4BEF">
            <w:pPr>
              <w:jc w:val="center"/>
              <w:rPr>
                <w:rFonts w:ascii="Arial" w:hAnsi="Arial" w:cs="Arial"/>
                <w:sz w:val="20"/>
                <w:szCs w:val="20"/>
              </w:rPr>
            </w:pPr>
            <w:r>
              <w:rPr>
                <w:rFonts w:ascii="Arial" w:hAnsi="Arial" w:cs="Arial"/>
                <w:sz w:val="20"/>
                <w:szCs w:val="20"/>
              </w:rPr>
              <w:t>1</w:t>
            </w:r>
            <w:r w:rsidR="006E4BEF">
              <w:rPr>
                <w:rFonts w:ascii="Arial" w:hAnsi="Arial" w:cs="Arial"/>
                <w:sz w:val="20"/>
                <w:szCs w:val="20"/>
              </w:rPr>
              <w:t>0</w:t>
            </w:r>
          </w:p>
        </w:tc>
        <w:tc>
          <w:tcPr>
            <w:tcW w:w="2984" w:type="dxa"/>
            <w:tcBorders>
              <w:top w:val="single" w:sz="4" w:space="0" w:color="auto"/>
              <w:left w:val="single" w:sz="4" w:space="0" w:color="auto"/>
              <w:bottom w:val="single" w:sz="4" w:space="0" w:color="auto"/>
              <w:right w:val="single" w:sz="4" w:space="0" w:color="auto"/>
            </w:tcBorders>
            <w:vAlign w:val="center"/>
          </w:tcPr>
          <w:p w:rsidR="006F6F95" w:rsidRDefault="006E4BEF" w:rsidP="006F6F95">
            <w:pPr>
              <w:rPr>
                <w:rFonts w:ascii="Arial" w:hAnsi="Arial" w:cs="Arial"/>
                <w:sz w:val="20"/>
                <w:szCs w:val="20"/>
              </w:rPr>
            </w:pPr>
            <w:r>
              <w:rPr>
                <w:rFonts w:ascii="Arial" w:hAnsi="Arial" w:cs="Arial"/>
                <w:sz w:val="20"/>
                <w:szCs w:val="20"/>
              </w:rPr>
              <w:t>NA</w:t>
            </w:r>
          </w:p>
        </w:tc>
        <w:tc>
          <w:tcPr>
            <w:tcW w:w="2268" w:type="dxa"/>
            <w:tcBorders>
              <w:top w:val="single" w:sz="4" w:space="0" w:color="auto"/>
              <w:left w:val="single" w:sz="4" w:space="0" w:color="auto"/>
              <w:bottom w:val="single" w:sz="4" w:space="0" w:color="auto"/>
              <w:right w:val="single" w:sz="4" w:space="0" w:color="auto"/>
            </w:tcBorders>
          </w:tcPr>
          <w:p w:rsidR="006F6F95" w:rsidRDefault="006F6F95" w:rsidP="006F6F95">
            <w:pPr>
              <w:rPr>
                <w:b/>
                <w:sz w:val="24"/>
                <w:szCs w:val="24"/>
              </w:rPr>
            </w:pPr>
          </w:p>
        </w:tc>
        <w:tc>
          <w:tcPr>
            <w:tcW w:w="458" w:type="dxa"/>
            <w:tcBorders>
              <w:top w:val="single" w:sz="4" w:space="0" w:color="auto"/>
              <w:left w:val="single" w:sz="4" w:space="0" w:color="auto"/>
              <w:bottom w:val="single" w:sz="4" w:space="0" w:color="auto"/>
              <w:right w:val="single" w:sz="4" w:space="0" w:color="auto"/>
            </w:tcBorders>
          </w:tcPr>
          <w:p w:rsidR="006F6F95" w:rsidRDefault="006F6F95" w:rsidP="006F6F95">
            <w:pPr>
              <w:jc w:val="center"/>
              <w:rPr>
                <w:rFonts w:ascii="Arial" w:hAnsi="Arial" w:cs="Arial"/>
                <w:b/>
                <w:sz w:val="20"/>
                <w:szCs w:val="20"/>
              </w:rPr>
            </w:pPr>
          </w:p>
        </w:tc>
        <w:tc>
          <w:tcPr>
            <w:tcW w:w="458" w:type="dxa"/>
            <w:tcBorders>
              <w:top w:val="single" w:sz="4" w:space="0" w:color="auto"/>
              <w:left w:val="single" w:sz="4" w:space="0" w:color="auto"/>
              <w:bottom w:val="single" w:sz="4" w:space="0" w:color="auto"/>
              <w:right w:val="single" w:sz="4" w:space="0" w:color="auto"/>
            </w:tcBorders>
          </w:tcPr>
          <w:p w:rsidR="006F6F95" w:rsidRDefault="006F6F95" w:rsidP="006F6F95">
            <w:pPr>
              <w:jc w:val="center"/>
              <w:rPr>
                <w:rFonts w:ascii="Arial"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rsidR="006F6F95" w:rsidRDefault="006F6F95" w:rsidP="006F6F95">
            <w:pPr>
              <w:jc w:val="center"/>
              <w:rPr>
                <w:rFonts w:ascii="Arial" w:hAnsi="Arial" w:cs="Arial"/>
                <w:b/>
                <w:sz w:val="20"/>
                <w:szCs w:val="20"/>
              </w:rPr>
            </w:pPr>
          </w:p>
        </w:tc>
      </w:tr>
      <w:tr w:rsidR="00ED60E1" w:rsidTr="003218CA">
        <w:trPr>
          <w:trHeight w:val="1944"/>
        </w:trPr>
        <w:tc>
          <w:tcPr>
            <w:tcW w:w="3031" w:type="dxa"/>
            <w:tcBorders>
              <w:top w:val="single" w:sz="4" w:space="0" w:color="auto"/>
              <w:left w:val="single" w:sz="4" w:space="0" w:color="auto"/>
              <w:bottom w:val="single" w:sz="4" w:space="0" w:color="auto"/>
              <w:right w:val="single" w:sz="4" w:space="0" w:color="auto"/>
            </w:tcBorders>
            <w:vAlign w:val="center"/>
          </w:tcPr>
          <w:p w:rsidR="00ED60E1" w:rsidRPr="00ED60E1" w:rsidRDefault="00ED60E1" w:rsidP="00ED60E1">
            <w:pPr>
              <w:rPr>
                <w:rFonts w:ascii="Arial" w:hAnsi="Arial" w:cs="Arial"/>
                <w:sz w:val="20"/>
                <w:szCs w:val="20"/>
              </w:rPr>
            </w:pPr>
            <w:r w:rsidRPr="00ED60E1">
              <w:rPr>
                <w:rFonts w:ascii="Arial" w:hAnsi="Arial" w:cs="Arial"/>
                <w:sz w:val="20"/>
                <w:szCs w:val="20"/>
              </w:rPr>
              <w:t>Patient ID not being entered into</w:t>
            </w:r>
            <w:r>
              <w:rPr>
                <w:rFonts w:ascii="Arial" w:hAnsi="Arial" w:cs="Arial"/>
                <w:sz w:val="20"/>
                <w:szCs w:val="20"/>
              </w:rPr>
              <w:t xml:space="preserve"> meter before blood is analysed results in an i</w:t>
            </w:r>
            <w:r w:rsidRPr="00ED60E1">
              <w:rPr>
                <w:rFonts w:ascii="Arial" w:hAnsi="Arial" w:cs="Arial"/>
                <w:sz w:val="20"/>
                <w:szCs w:val="20"/>
              </w:rPr>
              <w:t>ncomplete audit trail for that patient.</w:t>
            </w:r>
          </w:p>
          <w:p w:rsidR="00ED60E1" w:rsidRDefault="00ED60E1" w:rsidP="00ED60E1">
            <w:pPr>
              <w:rPr>
                <w:rFonts w:ascii="Arial" w:hAnsi="Arial" w:cs="Arial"/>
                <w:sz w:val="20"/>
                <w:szCs w:val="20"/>
              </w:rPr>
            </w:pPr>
            <w:r w:rsidRPr="00ED60E1">
              <w:rPr>
                <w:rFonts w:ascii="Arial" w:hAnsi="Arial" w:cs="Arial"/>
                <w:sz w:val="20"/>
                <w:szCs w:val="20"/>
              </w:rPr>
              <w:t xml:space="preserve">One ID number </w:t>
            </w:r>
            <w:r>
              <w:rPr>
                <w:rFonts w:ascii="Arial" w:hAnsi="Arial" w:cs="Arial"/>
                <w:sz w:val="20"/>
                <w:szCs w:val="20"/>
              </w:rPr>
              <w:t>may be used for more than one patient so unable to c</w:t>
            </w:r>
            <w:r w:rsidRPr="00ED60E1">
              <w:rPr>
                <w:rFonts w:ascii="Arial" w:hAnsi="Arial" w:cs="Arial"/>
                <w:sz w:val="20"/>
                <w:szCs w:val="20"/>
              </w:rPr>
              <w:t>heck previous results</w:t>
            </w:r>
            <w:r>
              <w:rPr>
                <w:rFonts w:ascii="Arial" w:hAnsi="Arial" w:cs="Arial"/>
                <w:sz w:val="20"/>
                <w:szCs w:val="20"/>
              </w:rPr>
              <w:t>. This is a risk to patients as there results cannot be found by the DSN.</w:t>
            </w:r>
          </w:p>
        </w:tc>
        <w:tc>
          <w:tcPr>
            <w:tcW w:w="2747" w:type="dxa"/>
            <w:tcBorders>
              <w:top w:val="single" w:sz="4" w:space="0" w:color="auto"/>
              <w:left w:val="single" w:sz="4" w:space="0" w:color="auto"/>
              <w:bottom w:val="single" w:sz="4" w:space="0" w:color="auto"/>
              <w:right w:val="single" w:sz="4" w:space="0" w:color="auto"/>
            </w:tcBorders>
          </w:tcPr>
          <w:p w:rsidR="00ED60E1" w:rsidRPr="00ED60E1" w:rsidRDefault="00ED60E1" w:rsidP="00ED60E1">
            <w:pPr>
              <w:numPr>
                <w:ilvl w:val="0"/>
                <w:numId w:val="3"/>
              </w:numPr>
              <w:rPr>
                <w:rFonts w:ascii="Arial" w:hAnsi="Arial" w:cs="Arial"/>
                <w:sz w:val="20"/>
                <w:szCs w:val="20"/>
              </w:rPr>
            </w:pPr>
            <w:r w:rsidRPr="00ED60E1">
              <w:rPr>
                <w:rFonts w:ascii="Arial" w:hAnsi="Arial" w:cs="Arial"/>
                <w:sz w:val="20"/>
                <w:szCs w:val="20"/>
              </w:rPr>
              <w:t>Staff are taught during training to use the patient ID.</w:t>
            </w:r>
          </w:p>
          <w:p w:rsidR="00ED60E1" w:rsidRPr="00ED60E1" w:rsidRDefault="00ED60E1" w:rsidP="00ED60E1">
            <w:pPr>
              <w:numPr>
                <w:ilvl w:val="0"/>
                <w:numId w:val="3"/>
              </w:numPr>
              <w:rPr>
                <w:rFonts w:ascii="Arial" w:hAnsi="Arial" w:cs="Arial"/>
                <w:sz w:val="20"/>
                <w:szCs w:val="20"/>
              </w:rPr>
            </w:pPr>
            <w:r w:rsidRPr="00ED60E1">
              <w:rPr>
                <w:rFonts w:ascii="Arial" w:hAnsi="Arial" w:cs="Arial"/>
                <w:sz w:val="20"/>
                <w:szCs w:val="20"/>
              </w:rPr>
              <w:t>Only trained staff have access to use the meters.</w:t>
            </w:r>
          </w:p>
          <w:p w:rsidR="00ED60E1" w:rsidRPr="00ED60E1" w:rsidRDefault="00ED60E1" w:rsidP="00ED60E1">
            <w:pPr>
              <w:numPr>
                <w:ilvl w:val="0"/>
                <w:numId w:val="3"/>
              </w:numPr>
              <w:rPr>
                <w:rFonts w:ascii="Arial" w:hAnsi="Arial" w:cs="Arial"/>
                <w:sz w:val="20"/>
                <w:szCs w:val="20"/>
              </w:rPr>
            </w:pPr>
            <w:r w:rsidRPr="00ED60E1">
              <w:rPr>
                <w:rFonts w:ascii="Arial" w:hAnsi="Arial" w:cs="Arial"/>
                <w:sz w:val="20"/>
                <w:szCs w:val="20"/>
              </w:rPr>
              <w:t>Audit is performed to check over use of emergency patient ID numbers.</w:t>
            </w:r>
          </w:p>
        </w:tc>
        <w:tc>
          <w:tcPr>
            <w:tcW w:w="439" w:type="dxa"/>
            <w:tcBorders>
              <w:top w:val="single" w:sz="4" w:space="0" w:color="auto"/>
              <w:left w:val="single" w:sz="4" w:space="0" w:color="auto"/>
              <w:bottom w:val="single" w:sz="4" w:space="0" w:color="auto"/>
              <w:right w:val="single" w:sz="4" w:space="0" w:color="auto"/>
            </w:tcBorders>
          </w:tcPr>
          <w:p w:rsidR="00ED60E1" w:rsidRDefault="00ED60E1" w:rsidP="00ED60E1">
            <w:pPr>
              <w:jc w:val="center"/>
              <w:rPr>
                <w:rFonts w:ascii="Arial" w:hAnsi="Arial" w:cs="Arial"/>
                <w:sz w:val="20"/>
                <w:szCs w:val="20"/>
              </w:rPr>
            </w:pPr>
          </w:p>
          <w:p w:rsidR="00ED60E1" w:rsidRDefault="00ED60E1" w:rsidP="00ED60E1">
            <w:pPr>
              <w:jc w:val="center"/>
              <w:rPr>
                <w:rFonts w:ascii="Arial" w:hAnsi="Arial" w:cs="Arial"/>
                <w:sz w:val="20"/>
                <w:szCs w:val="20"/>
              </w:rPr>
            </w:pPr>
            <w:r>
              <w:rPr>
                <w:rFonts w:ascii="Arial" w:hAnsi="Arial" w:cs="Arial"/>
                <w:sz w:val="20"/>
                <w:szCs w:val="20"/>
              </w:rPr>
              <w:t>2</w:t>
            </w:r>
          </w:p>
        </w:tc>
        <w:tc>
          <w:tcPr>
            <w:tcW w:w="439" w:type="dxa"/>
            <w:tcBorders>
              <w:top w:val="single" w:sz="4" w:space="0" w:color="auto"/>
              <w:left w:val="single" w:sz="4" w:space="0" w:color="auto"/>
              <w:bottom w:val="single" w:sz="4" w:space="0" w:color="auto"/>
              <w:right w:val="single" w:sz="4" w:space="0" w:color="auto"/>
            </w:tcBorders>
          </w:tcPr>
          <w:p w:rsidR="00ED60E1" w:rsidRDefault="00ED60E1" w:rsidP="00ED60E1">
            <w:pPr>
              <w:jc w:val="center"/>
              <w:rPr>
                <w:rFonts w:ascii="Arial" w:hAnsi="Arial" w:cs="Arial"/>
                <w:sz w:val="20"/>
                <w:szCs w:val="20"/>
              </w:rPr>
            </w:pPr>
          </w:p>
          <w:p w:rsidR="00ED60E1" w:rsidRDefault="00ED60E1" w:rsidP="00ED60E1">
            <w:pPr>
              <w:jc w:val="center"/>
              <w:rPr>
                <w:rFonts w:ascii="Arial" w:hAnsi="Arial" w:cs="Arial"/>
                <w:sz w:val="20"/>
                <w:szCs w:val="20"/>
              </w:rPr>
            </w:pPr>
            <w:r>
              <w:rPr>
                <w:rFonts w:ascii="Arial" w:hAnsi="Arial" w:cs="Arial"/>
                <w:sz w:val="20"/>
                <w:szCs w:val="20"/>
              </w:rPr>
              <w:t>7</w:t>
            </w:r>
          </w:p>
        </w:tc>
        <w:tc>
          <w:tcPr>
            <w:tcW w:w="550" w:type="dxa"/>
            <w:tcBorders>
              <w:top w:val="single" w:sz="4" w:space="0" w:color="auto"/>
              <w:left w:val="single" w:sz="4" w:space="0" w:color="auto"/>
              <w:bottom w:val="single" w:sz="4" w:space="0" w:color="auto"/>
              <w:right w:val="single" w:sz="4" w:space="0" w:color="auto"/>
            </w:tcBorders>
          </w:tcPr>
          <w:p w:rsidR="00ED60E1" w:rsidRDefault="00ED60E1" w:rsidP="00ED60E1">
            <w:pPr>
              <w:jc w:val="center"/>
              <w:rPr>
                <w:rFonts w:ascii="Arial" w:hAnsi="Arial" w:cs="Arial"/>
                <w:sz w:val="20"/>
                <w:szCs w:val="20"/>
              </w:rPr>
            </w:pPr>
          </w:p>
          <w:p w:rsidR="00ED60E1" w:rsidRDefault="00ED60E1" w:rsidP="00ED60E1">
            <w:pPr>
              <w:jc w:val="center"/>
              <w:rPr>
                <w:rFonts w:ascii="Arial" w:hAnsi="Arial" w:cs="Arial"/>
                <w:sz w:val="20"/>
                <w:szCs w:val="20"/>
              </w:rPr>
            </w:pPr>
            <w:r>
              <w:rPr>
                <w:rFonts w:ascii="Arial" w:hAnsi="Arial" w:cs="Arial"/>
                <w:sz w:val="20"/>
                <w:szCs w:val="20"/>
              </w:rPr>
              <w:t>14</w:t>
            </w:r>
          </w:p>
        </w:tc>
        <w:tc>
          <w:tcPr>
            <w:tcW w:w="2984" w:type="dxa"/>
            <w:tcBorders>
              <w:top w:val="single" w:sz="4" w:space="0" w:color="auto"/>
              <w:left w:val="single" w:sz="4" w:space="0" w:color="auto"/>
              <w:bottom w:val="single" w:sz="4" w:space="0" w:color="auto"/>
              <w:right w:val="single" w:sz="4" w:space="0" w:color="auto"/>
            </w:tcBorders>
            <w:vAlign w:val="center"/>
          </w:tcPr>
          <w:p w:rsidR="00ED60E1" w:rsidRDefault="00ED60E1" w:rsidP="00ED60E1">
            <w:pPr>
              <w:rPr>
                <w:rFonts w:ascii="Arial" w:hAnsi="Arial" w:cs="Arial"/>
                <w:sz w:val="20"/>
                <w:szCs w:val="20"/>
              </w:rPr>
            </w:pPr>
            <w:r>
              <w:rPr>
                <w:rFonts w:ascii="Arial" w:hAnsi="Arial" w:cs="Arial"/>
                <w:sz w:val="20"/>
                <w:szCs w:val="20"/>
              </w:rPr>
              <w:t>Connection into the EPR with bidirectional patient identification would not allow a made up number to be used.</w:t>
            </w:r>
          </w:p>
          <w:p w:rsidR="00ED60E1" w:rsidRDefault="00ED60E1" w:rsidP="00ED60E1">
            <w:pP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ED60E1" w:rsidRPr="00ED60E1" w:rsidRDefault="00ED60E1" w:rsidP="00ED60E1">
            <w:pPr>
              <w:rPr>
                <w:sz w:val="24"/>
                <w:szCs w:val="24"/>
              </w:rPr>
            </w:pPr>
            <w:r w:rsidRPr="00ED60E1">
              <w:rPr>
                <w:sz w:val="24"/>
                <w:szCs w:val="24"/>
              </w:rPr>
              <w:t>After the pathology MES is complete in mid-2022 the POCT equipment will be renewed to include connection to EPR.</w:t>
            </w:r>
          </w:p>
        </w:tc>
        <w:tc>
          <w:tcPr>
            <w:tcW w:w="458" w:type="dxa"/>
            <w:tcBorders>
              <w:top w:val="single" w:sz="4" w:space="0" w:color="auto"/>
              <w:left w:val="single" w:sz="4" w:space="0" w:color="auto"/>
              <w:bottom w:val="single" w:sz="4" w:space="0" w:color="auto"/>
              <w:right w:val="single" w:sz="4" w:space="0" w:color="auto"/>
            </w:tcBorders>
          </w:tcPr>
          <w:p w:rsidR="00ED60E1" w:rsidRPr="00ED60E1" w:rsidRDefault="00ED60E1" w:rsidP="00ED60E1">
            <w:pPr>
              <w:jc w:val="center"/>
              <w:rPr>
                <w:rFonts w:ascii="Arial" w:hAnsi="Arial" w:cs="Arial"/>
                <w:sz w:val="20"/>
                <w:szCs w:val="20"/>
              </w:rPr>
            </w:pPr>
            <w:r w:rsidRPr="00ED60E1">
              <w:rPr>
                <w:rFonts w:ascii="Arial" w:hAnsi="Arial" w:cs="Arial"/>
                <w:sz w:val="20"/>
                <w:szCs w:val="20"/>
              </w:rPr>
              <w:t>2</w:t>
            </w:r>
          </w:p>
        </w:tc>
        <w:tc>
          <w:tcPr>
            <w:tcW w:w="458" w:type="dxa"/>
            <w:tcBorders>
              <w:top w:val="single" w:sz="4" w:space="0" w:color="auto"/>
              <w:left w:val="single" w:sz="4" w:space="0" w:color="auto"/>
              <w:bottom w:val="single" w:sz="4" w:space="0" w:color="auto"/>
              <w:right w:val="single" w:sz="4" w:space="0" w:color="auto"/>
            </w:tcBorders>
          </w:tcPr>
          <w:p w:rsidR="00ED60E1" w:rsidRPr="00ED60E1" w:rsidRDefault="00ED60E1" w:rsidP="00ED60E1">
            <w:pPr>
              <w:jc w:val="center"/>
              <w:rPr>
                <w:rFonts w:ascii="Arial" w:hAnsi="Arial" w:cs="Arial"/>
                <w:sz w:val="20"/>
                <w:szCs w:val="20"/>
              </w:rPr>
            </w:pPr>
            <w:r w:rsidRPr="00ED60E1">
              <w:rPr>
                <w:rFonts w:ascii="Arial" w:hAnsi="Arial" w:cs="Arial"/>
                <w:sz w:val="20"/>
                <w:szCs w:val="20"/>
              </w:rPr>
              <w:t>2</w:t>
            </w:r>
          </w:p>
        </w:tc>
        <w:tc>
          <w:tcPr>
            <w:tcW w:w="579" w:type="dxa"/>
            <w:tcBorders>
              <w:top w:val="single" w:sz="4" w:space="0" w:color="auto"/>
              <w:left w:val="single" w:sz="4" w:space="0" w:color="auto"/>
              <w:bottom w:val="single" w:sz="4" w:space="0" w:color="auto"/>
              <w:right w:val="single" w:sz="4" w:space="0" w:color="auto"/>
            </w:tcBorders>
          </w:tcPr>
          <w:p w:rsidR="00ED60E1" w:rsidRPr="00ED60E1" w:rsidRDefault="00ED60E1" w:rsidP="00ED60E1">
            <w:pPr>
              <w:jc w:val="center"/>
              <w:rPr>
                <w:rFonts w:ascii="Arial" w:hAnsi="Arial" w:cs="Arial"/>
                <w:sz w:val="20"/>
                <w:szCs w:val="20"/>
              </w:rPr>
            </w:pPr>
            <w:r w:rsidRPr="00ED60E1">
              <w:rPr>
                <w:rFonts w:ascii="Arial" w:hAnsi="Arial" w:cs="Arial"/>
                <w:sz w:val="20"/>
                <w:szCs w:val="20"/>
              </w:rPr>
              <w:t>4</w:t>
            </w:r>
          </w:p>
        </w:tc>
      </w:tr>
      <w:tr w:rsidR="00621E65" w:rsidTr="00EF4B74">
        <w:trPr>
          <w:trHeight w:val="1740"/>
        </w:trPr>
        <w:tc>
          <w:tcPr>
            <w:tcW w:w="3031" w:type="dxa"/>
            <w:tcBorders>
              <w:top w:val="single" w:sz="4" w:space="0" w:color="auto"/>
              <w:left w:val="single" w:sz="4" w:space="0" w:color="auto"/>
              <w:bottom w:val="single" w:sz="4" w:space="0" w:color="auto"/>
              <w:right w:val="single" w:sz="4" w:space="0" w:color="auto"/>
            </w:tcBorders>
            <w:vAlign w:val="center"/>
          </w:tcPr>
          <w:p w:rsidR="00621E65" w:rsidRDefault="00F82DB9" w:rsidP="00621E65">
            <w:pPr>
              <w:rPr>
                <w:rFonts w:ascii="Arial" w:hAnsi="Arial" w:cs="Arial"/>
                <w:sz w:val="20"/>
                <w:szCs w:val="20"/>
              </w:rPr>
            </w:pPr>
            <w:r>
              <w:rPr>
                <w:rFonts w:ascii="Arial" w:hAnsi="Arial" w:cs="Arial"/>
                <w:sz w:val="20"/>
                <w:szCs w:val="20"/>
              </w:rPr>
              <w:t>Results are transcribed into the patient notes which could be written incorrectly, leading to incorrect diabetic treatment which could be life threatening.</w:t>
            </w:r>
          </w:p>
        </w:tc>
        <w:tc>
          <w:tcPr>
            <w:tcW w:w="2747" w:type="dxa"/>
            <w:tcBorders>
              <w:top w:val="single" w:sz="4" w:space="0" w:color="auto"/>
              <w:left w:val="single" w:sz="4" w:space="0" w:color="auto"/>
              <w:bottom w:val="single" w:sz="4" w:space="0" w:color="auto"/>
              <w:right w:val="single" w:sz="4" w:space="0" w:color="auto"/>
            </w:tcBorders>
          </w:tcPr>
          <w:p w:rsidR="00621E65" w:rsidRPr="00621E65" w:rsidRDefault="00621E65" w:rsidP="00621E65">
            <w:pPr>
              <w:numPr>
                <w:ilvl w:val="0"/>
                <w:numId w:val="3"/>
              </w:numPr>
              <w:rPr>
                <w:rFonts w:ascii="Arial" w:hAnsi="Arial" w:cs="Arial"/>
                <w:sz w:val="20"/>
                <w:szCs w:val="20"/>
              </w:rPr>
            </w:pPr>
            <w:r w:rsidRPr="00621E65">
              <w:rPr>
                <w:rFonts w:ascii="Arial" w:hAnsi="Arial" w:cs="Arial"/>
                <w:sz w:val="20"/>
                <w:szCs w:val="20"/>
              </w:rPr>
              <w:t>During training users are taught to write the correct result in the patient record and sign this transcription.</w:t>
            </w:r>
          </w:p>
        </w:tc>
        <w:tc>
          <w:tcPr>
            <w:tcW w:w="439" w:type="dxa"/>
            <w:tcBorders>
              <w:top w:val="single" w:sz="4" w:space="0" w:color="auto"/>
              <w:left w:val="single" w:sz="4" w:space="0" w:color="auto"/>
              <w:bottom w:val="single" w:sz="4" w:space="0" w:color="auto"/>
              <w:right w:val="single" w:sz="4" w:space="0" w:color="auto"/>
            </w:tcBorders>
          </w:tcPr>
          <w:p w:rsidR="00621E65" w:rsidRDefault="00621E65" w:rsidP="00621E65">
            <w:pPr>
              <w:jc w:val="center"/>
              <w:rPr>
                <w:rFonts w:ascii="Arial" w:hAnsi="Arial" w:cs="Arial"/>
                <w:sz w:val="20"/>
                <w:szCs w:val="20"/>
              </w:rPr>
            </w:pPr>
          </w:p>
          <w:p w:rsidR="00621E65" w:rsidRDefault="00621E65" w:rsidP="00621E65">
            <w:pPr>
              <w:jc w:val="center"/>
              <w:rPr>
                <w:rFonts w:ascii="Arial" w:hAnsi="Arial" w:cs="Arial"/>
                <w:sz w:val="20"/>
                <w:szCs w:val="20"/>
              </w:rPr>
            </w:pPr>
            <w:r>
              <w:rPr>
                <w:rFonts w:ascii="Arial" w:hAnsi="Arial" w:cs="Arial"/>
                <w:sz w:val="20"/>
                <w:szCs w:val="20"/>
              </w:rPr>
              <w:t>5</w:t>
            </w:r>
          </w:p>
        </w:tc>
        <w:tc>
          <w:tcPr>
            <w:tcW w:w="439" w:type="dxa"/>
            <w:tcBorders>
              <w:top w:val="single" w:sz="4" w:space="0" w:color="auto"/>
              <w:left w:val="single" w:sz="4" w:space="0" w:color="auto"/>
              <w:bottom w:val="single" w:sz="4" w:space="0" w:color="auto"/>
              <w:right w:val="single" w:sz="4" w:space="0" w:color="auto"/>
            </w:tcBorders>
          </w:tcPr>
          <w:p w:rsidR="00621E65" w:rsidRDefault="00621E65" w:rsidP="00621E65">
            <w:pPr>
              <w:jc w:val="center"/>
              <w:rPr>
                <w:rFonts w:ascii="Arial" w:hAnsi="Arial" w:cs="Arial"/>
                <w:sz w:val="20"/>
                <w:szCs w:val="20"/>
              </w:rPr>
            </w:pPr>
          </w:p>
          <w:p w:rsidR="00621E65" w:rsidRDefault="00621E65" w:rsidP="00621E65">
            <w:pPr>
              <w:jc w:val="center"/>
              <w:rPr>
                <w:rFonts w:ascii="Arial" w:hAnsi="Arial" w:cs="Arial"/>
                <w:sz w:val="20"/>
                <w:szCs w:val="20"/>
              </w:rPr>
            </w:pPr>
            <w:r>
              <w:rPr>
                <w:rFonts w:ascii="Arial" w:hAnsi="Arial" w:cs="Arial"/>
                <w:sz w:val="20"/>
                <w:szCs w:val="20"/>
              </w:rPr>
              <w:t>3</w:t>
            </w:r>
          </w:p>
        </w:tc>
        <w:tc>
          <w:tcPr>
            <w:tcW w:w="550" w:type="dxa"/>
            <w:tcBorders>
              <w:top w:val="single" w:sz="4" w:space="0" w:color="auto"/>
              <w:left w:val="single" w:sz="4" w:space="0" w:color="auto"/>
              <w:bottom w:val="single" w:sz="4" w:space="0" w:color="auto"/>
              <w:right w:val="single" w:sz="4" w:space="0" w:color="auto"/>
            </w:tcBorders>
          </w:tcPr>
          <w:p w:rsidR="00621E65" w:rsidRDefault="00621E65" w:rsidP="00621E65">
            <w:pPr>
              <w:jc w:val="center"/>
              <w:rPr>
                <w:rFonts w:ascii="Arial" w:hAnsi="Arial" w:cs="Arial"/>
                <w:sz w:val="20"/>
                <w:szCs w:val="20"/>
              </w:rPr>
            </w:pPr>
          </w:p>
          <w:p w:rsidR="00621E65" w:rsidRDefault="00621E65" w:rsidP="00621E65">
            <w:pPr>
              <w:jc w:val="center"/>
              <w:rPr>
                <w:rFonts w:ascii="Arial" w:hAnsi="Arial" w:cs="Arial"/>
                <w:sz w:val="20"/>
                <w:szCs w:val="20"/>
              </w:rPr>
            </w:pPr>
            <w:r>
              <w:rPr>
                <w:rFonts w:ascii="Arial" w:hAnsi="Arial" w:cs="Arial"/>
                <w:sz w:val="20"/>
                <w:szCs w:val="20"/>
              </w:rPr>
              <w:t>15</w:t>
            </w:r>
          </w:p>
        </w:tc>
        <w:tc>
          <w:tcPr>
            <w:tcW w:w="2984" w:type="dxa"/>
            <w:tcBorders>
              <w:top w:val="single" w:sz="4" w:space="0" w:color="auto"/>
              <w:left w:val="single" w:sz="4" w:space="0" w:color="auto"/>
              <w:bottom w:val="single" w:sz="4" w:space="0" w:color="auto"/>
              <w:right w:val="single" w:sz="4" w:space="0" w:color="auto"/>
            </w:tcBorders>
            <w:vAlign w:val="center"/>
          </w:tcPr>
          <w:p w:rsidR="00621E65" w:rsidRDefault="00F82DB9" w:rsidP="00621E65">
            <w:pPr>
              <w:rPr>
                <w:rFonts w:ascii="Arial" w:hAnsi="Arial" w:cs="Arial"/>
                <w:sz w:val="20"/>
                <w:szCs w:val="20"/>
              </w:rPr>
            </w:pPr>
            <w:r>
              <w:rPr>
                <w:rFonts w:ascii="Arial" w:hAnsi="Arial" w:cs="Arial"/>
                <w:sz w:val="20"/>
                <w:szCs w:val="20"/>
              </w:rPr>
              <w:t>The trust is keen to go paperless – which once the glucose and ketone meters have been renewed (mid-2022) they will be connected to the EPR removing the need to transcribe results onto a paper record.</w:t>
            </w:r>
          </w:p>
        </w:tc>
        <w:tc>
          <w:tcPr>
            <w:tcW w:w="2268" w:type="dxa"/>
            <w:tcBorders>
              <w:top w:val="single" w:sz="4" w:space="0" w:color="auto"/>
              <w:left w:val="single" w:sz="4" w:space="0" w:color="auto"/>
              <w:bottom w:val="single" w:sz="4" w:space="0" w:color="auto"/>
              <w:right w:val="single" w:sz="4" w:space="0" w:color="auto"/>
            </w:tcBorders>
          </w:tcPr>
          <w:p w:rsidR="00621E65" w:rsidRDefault="00F82DB9" w:rsidP="00621E65">
            <w:pPr>
              <w:rPr>
                <w:sz w:val="24"/>
                <w:szCs w:val="24"/>
              </w:rPr>
            </w:pPr>
            <w:r>
              <w:rPr>
                <w:sz w:val="24"/>
                <w:szCs w:val="24"/>
              </w:rPr>
              <w:t>Mid 2022</w:t>
            </w:r>
          </w:p>
        </w:tc>
        <w:tc>
          <w:tcPr>
            <w:tcW w:w="458" w:type="dxa"/>
            <w:tcBorders>
              <w:top w:val="single" w:sz="4" w:space="0" w:color="auto"/>
              <w:left w:val="single" w:sz="4" w:space="0" w:color="auto"/>
              <w:bottom w:val="single" w:sz="4" w:space="0" w:color="auto"/>
              <w:right w:val="single" w:sz="4" w:space="0" w:color="auto"/>
            </w:tcBorders>
          </w:tcPr>
          <w:p w:rsidR="00621E65" w:rsidRPr="00F82DB9" w:rsidRDefault="00F82DB9" w:rsidP="00621E65">
            <w:pPr>
              <w:jc w:val="center"/>
              <w:rPr>
                <w:rFonts w:ascii="Arial" w:hAnsi="Arial" w:cs="Arial"/>
                <w:sz w:val="20"/>
                <w:szCs w:val="20"/>
              </w:rPr>
            </w:pPr>
            <w:r w:rsidRPr="00F82DB9">
              <w:rPr>
                <w:rFonts w:ascii="Arial" w:hAnsi="Arial" w:cs="Arial"/>
                <w:sz w:val="20"/>
                <w:szCs w:val="20"/>
              </w:rPr>
              <w:t>5</w:t>
            </w:r>
          </w:p>
        </w:tc>
        <w:tc>
          <w:tcPr>
            <w:tcW w:w="458" w:type="dxa"/>
            <w:tcBorders>
              <w:top w:val="single" w:sz="4" w:space="0" w:color="auto"/>
              <w:left w:val="single" w:sz="4" w:space="0" w:color="auto"/>
              <w:bottom w:val="single" w:sz="4" w:space="0" w:color="auto"/>
              <w:right w:val="single" w:sz="4" w:space="0" w:color="auto"/>
            </w:tcBorders>
          </w:tcPr>
          <w:p w:rsidR="00621E65" w:rsidRPr="00F82DB9" w:rsidRDefault="00F82DB9" w:rsidP="00621E65">
            <w:pPr>
              <w:jc w:val="center"/>
              <w:rPr>
                <w:rFonts w:ascii="Arial" w:hAnsi="Arial" w:cs="Arial"/>
                <w:sz w:val="20"/>
                <w:szCs w:val="20"/>
              </w:rPr>
            </w:pPr>
            <w:r w:rsidRPr="00F82DB9">
              <w:rPr>
                <w:rFonts w:ascii="Arial" w:hAnsi="Arial" w:cs="Arial"/>
                <w:sz w:val="20"/>
                <w:szCs w:val="20"/>
              </w:rPr>
              <w:t>1</w:t>
            </w:r>
          </w:p>
        </w:tc>
        <w:tc>
          <w:tcPr>
            <w:tcW w:w="579" w:type="dxa"/>
            <w:tcBorders>
              <w:top w:val="single" w:sz="4" w:space="0" w:color="auto"/>
              <w:left w:val="single" w:sz="4" w:space="0" w:color="auto"/>
              <w:bottom w:val="single" w:sz="4" w:space="0" w:color="auto"/>
              <w:right w:val="single" w:sz="4" w:space="0" w:color="auto"/>
            </w:tcBorders>
          </w:tcPr>
          <w:p w:rsidR="00621E65" w:rsidRPr="00F82DB9" w:rsidRDefault="00F82DB9" w:rsidP="00621E65">
            <w:pPr>
              <w:jc w:val="center"/>
              <w:rPr>
                <w:rFonts w:ascii="Arial" w:hAnsi="Arial" w:cs="Arial"/>
                <w:sz w:val="20"/>
                <w:szCs w:val="20"/>
              </w:rPr>
            </w:pPr>
            <w:r w:rsidRPr="00F82DB9">
              <w:rPr>
                <w:rFonts w:ascii="Arial" w:hAnsi="Arial" w:cs="Arial"/>
                <w:sz w:val="20"/>
                <w:szCs w:val="20"/>
              </w:rPr>
              <w:t>5</w:t>
            </w:r>
          </w:p>
        </w:tc>
      </w:tr>
      <w:tr w:rsidR="006C6769" w:rsidTr="00C926F4">
        <w:trPr>
          <w:trHeight w:val="1740"/>
        </w:trPr>
        <w:tc>
          <w:tcPr>
            <w:tcW w:w="3031" w:type="dxa"/>
            <w:tcBorders>
              <w:top w:val="single" w:sz="4" w:space="0" w:color="auto"/>
              <w:left w:val="single" w:sz="4" w:space="0" w:color="auto"/>
              <w:bottom w:val="single" w:sz="4" w:space="0" w:color="auto"/>
              <w:right w:val="single" w:sz="4" w:space="0" w:color="auto"/>
            </w:tcBorders>
            <w:vAlign w:val="center"/>
          </w:tcPr>
          <w:p w:rsidR="006C6769" w:rsidRDefault="006C6769" w:rsidP="006C6769">
            <w:pPr>
              <w:rPr>
                <w:rFonts w:ascii="Arial" w:hAnsi="Arial" w:cs="Arial"/>
                <w:sz w:val="20"/>
                <w:szCs w:val="20"/>
              </w:rPr>
            </w:pPr>
            <w:r>
              <w:rPr>
                <w:rFonts w:ascii="Arial" w:hAnsi="Arial" w:cs="Arial"/>
                <w:sz w:val="20"/>
                <w:szCs w:val="20"/>
              </w:rPr>
              <w:t xml:space="preserve">A damaged or faulty meter could produce incorrect results possibly leading to </w:t>
            </w:r>
            <w:r w:rsidRPr="006C6769">
              <w:rPr>
                <w:rFonts w:ascii="Arial" w:hAnsi="Arial" w:cs="Arial"/>
                <w:sz w:val="20"/>
                <w:szCs w:val="20"/>
              </w:rPr>
              <w:t>unnecessary and potentially life threatening alteration in diabetic treatment.</w:t>
            </w:r>
          </w:p>
        </w:tc>
        <w:tc>
          <w:tcPr>
            <w:tcW w:w="2747" w:type="dxa"/>
            <w:tcBorders>
              <w:top w:val="single" w:sz="4" w:space="0" w:color="auto"/>
              <w:left w:val="single" w:sz="4" w:space="0" w:color="auto"/>
              <w:bottom w:val="single" w:sz="4" w:space="0" w:color="auto"/>
              <w:right w:val="single" w:sz="4" w:space="0" w:color="auto"/>
            </w:tcBorders>
          </w:tcPr>
          <w:p w:rsidR="006C6769" w:rsidRPr="006C6769" w:rsidRDefault="006C6769" w:rsidP="006C6769">
            <w:pPr>
              <w:numPr>
                <w:ilvl w:val="0"/>
                <w:numId w:val="3"/>
              </w:numPr>
              <w:rPr>
                <w:rFonts w:ascii="Arial" w:hAnsi="Arial" w:cs="Arial"/>
                <w:sz w:val="20"/>
                <w:szCs w:val="20"/>
              </w:rPr>
            </w:pPr>
            <w:r w:rsidRPr="006C6769">
              <w:rPr>
                <w:rFonts w:ascii="Arial" w:hAnsi="Arial" w:cs="Arial"/>
                <w:sz w:val="20"/>
                <w:szCs w:val="20"/>
              </w:rPr>
              <w:t xml:space="preserve">Meter will not run patient samples without a valid </w:t>
            </w:r>
            <w:proofErr w:type="spellStart"/>
            <w:r w:rsidRPr="006C6769">
              <w:rPr>
                <w:rFonts w:ascii="Arial" w:hAnsi="Arial" w:cs="Arial"/>
                <w:sz w:val="20"/>
                <w:szCs w:val="20"/>
              </w:rPr>
              <w:t>iQC</w:t>
            </w:r>
            <w:proofErr w:type="spellEnd"/>
            <w:r w:rsidRPr="006C6769">
              <w:rPr>
                <w:rFonts w:ascii="Arial" w:hAnsi="Arial" w:cs="Arial"/>
                <w:sz w:val="20"/>
                <w:szCs w:val="20"/>
              </w:rPr>
              <w:t>.</w:t>
            </w:r>
          </w:p>
          <w:p w:rsidR="006C6769" w:rsidRPr="006C6769" w:rsidRDefault="006C6769" w:rsidP="006C6769">
            <w:pPr>
              <w:numPr>
                <w:ilvl w:val="0"/>
                <w:numId w:val="3"/>
              </w:numPr>
              <w:rPr>
                <w:rFonts w:ascii="Arial" w:hAnsi="Arial" w:cs="Arial"/>
                <w:sz w:val="20"/>
                <w:szCs w:val="20"/>
              </w:rPr>
            </w:pPr>
            <w:r w:rsidRPr="006C6769">
              <w:rPr>
                <w:rFonts w:ascii="Arial" w:hAnsi="Arial" w:cs="Arial"/>
                <w:sz w:val="20"/>
                <w:szCs w:val="20"/>
              </w:rPr>
              <w:t xml:space="preserve">Staff trained to run </w:t>
            </w:r>
            <w:proofErr w:type="spellStart"/>
            <w:r w:rsidRPr="006C6769">
              <w:rPr>
                <w:rFonts w:ascii="Arial" w:hAnsi="Arial" w:cs="Arial"/>
                <w:sz w:val="20"/>
                <w:szCs w:val="20"/>
              </w:rPr>
              <w:t>iQC</w:t>
            </w:r>
            <w:proofErr w:type="spellEnd"/>
            <w:r w:rsidRPr="006C6769">
              <w:rPr>
                <w:rFonts w:ascii="Arial" w:hAnsi="Arial" w:cs="Arial"/>
                <w:sz w:val="20"/>
                <w:szCs w:val="20"/>
              </w:rPr>
              <w:t xml:space="preserve"> if there are problems or damage to the meter</w:t>
            </w:r>
          </w:p>
        </w:tc>
        <w:tc>
          <w:tcPr>
            <w:tcW w:w="439" w:type="dxa"/>
            <w:tcBorders>
              <w:top w:val="single" w:sz="4" w:space="0" w:color="auto"/>
              <w:left w:val="single" w:sz="4" w:space="0" w:color="auto"/>
              <w:bottom w:val="single" w:sz="4" w:space="0" w:color="auto"/>
              <w:right w:val="single" w:sz="4" w:space="0" w:color="auto"/>
            </w:tcBorders>
          </w:tcPr>
          <w:p w:rsidR="006C6769" w:rsidRDefault="006C6769" w:rsidP="006C6769">
            <w:pPr>
              <w:jc w:val="center"/>
              <w:rPr>
                <w:rFonts w:ascii="Arial" w:hAnsi="Arial" w:cs="Arial"/>
                <w:sz w:val="20"/>
                <w:szCs w:val="20"/>
              </w:rPr>
            </w:pPr>
          </w:p>
          <w:p w:rsidR="006C6769" w:rsidRDefault="006C6769" w:rsidP="006C6769">
            <w:pPr>
              <w:jc w:val="center"/>
              <w:rPr>
                <w:rFonts w:ascii="Arial" w:hAnsi="Arial" w:cs="Arial"/>
                <w:sz w:val="20"/>
                <w:szCs w:val="20"/>
              </w:rPr>
            </w:pPr>
            <w:r>
              <w:rPr>
                <w:rFonts w:ascii="Arial" w:hAnsi="Arial" w:cs="Arial"/>
                <w:sz w:val="20"/>
                <w:szCs w:val="20"/>
              </w:rPr>
              <w:t>5</w:t>
            </w:r>
          </w:p>
        </w:tc>
        <w:tc>
          <w:tcPr>
            <w:tcW w:w="439" w:type="dxa"/>
            <w:tcBorders>
              <w:top w:val="single" w:sz="4" w:space="0" w:color="auto"/>
              <w:left w:val="single" w:sz="4" w:space="0" w:color="auto"/>
              <w:bottom w:val="single" w:sz="4" w:space="0" w:color="auto"/>
              <w:right w:val="single" w:sz="4" w:space="0" w:color="auto"/>
            </w:tcBorders>
          </w:tcPr>
          <w:p w:rsidR="006C6769" w:rsidRDefault="006C6769" w:rsidP="006C6769">
            <w:pPr>
              <w:jc w:val="center"/>
              <w:rPr>
                <w:rFonts w:ascii="Arial" w:hAnsi="Arial" w:cs="Arial"/>
                <w:sz w:val="20"/>
                <w:szCs w:val="20"/>
              </w:rPr>
            </w:pPr>
          </w:p>
          <w:p w:rsidR="006C6769" w:rsidRDefault="006E4BEF" w:rsidP="006C6769">
            <w:pPr>
              <w:jc w:val="center"/>
              <w:rPr>
                <w:rFonts w:ascii="Arial" w:hAnsi="Arial" w:cs="Arial"/>
                <w:sz w:val="20"/>
                <w:szCs w:val="20"/>
              </w:rPr>
            </w:pPr>
            <w:r>
              <w:rPr>
                <w:rFonts w:ascii="Arial" w:hAnsi="Arial" w:cs="Arial"/>
                <w:sz w:val="20"/>
                <w:szCs w:val="20"/>
              </w:rPr>
              <w:t>1</w:t>
            </w:r>
          </w:p>
        </w:tc>
        <w:tc>
          <w:tcPr>
            <w:tcW w:w="550" w:type="dxa"/>
            <w:tcBorders>
              <w:top w:val="single" w:sz="4" w:space="0" w:color="auto"/>
              <w:left w:val="single" w:sz="4" w:space="0" w:color="auto"/>
              <w:bottom w:val="single" w:sz="4" w:space="0" w:color="auto"/>
              <w:right w:val="single" w:sz="4" w:space="0" w:color="auto"/>
            </w:tcBorders>
          </w:tcPr>
          <w:p w:rsidR="006C6769" w:rsidRDefault="006C6769" w:rsidP="006C6769">
            <w:pPr>
              <w:jc w:val="center"/>
              <w:rPr>
                <w:rFonts w:ascii="Arial" w:hAnsi="Arial" w:cs="Arial"/>
                <w:sz w:val="20"/>
                <w:szCs w:val="20"/>
              </w:rPr>
            </w:pPr>
          </w:p>
          <w:p w:rsidR="006C6769" w:rsidRDefault="006E4BEF" w:rsidP="006E4BEF">
            <w:pPr>
              <w:jc w:val="center"/>
              <w:rPr>
                <w:rFonts w:ascii="Arial" w:hAnsi="Arial" w:cs="Arial"/>
                <w:sz w:val="20"/>
                <w:szCs w:val="20"/>
              </w:rPr>
            </w:pPr>
            <w:r>
              <w:rPr>
                <w:rFonts w:ascii="Arial" w:hAnsi="Arial" w:cs="Arial"/>
                <w:sz w:val="20"/>
                <w:szCs w:val="20"/>
              </w:rPr>
              <w:t>5</w:t>
            </w:r>
          </w:p>
        </w:tc>
        <w:tc>
          <w:tcPr>
            <w:tcW w:w="2984" w:type="dxa"/>
            <w:tcBorders>
              <w:top w:val="single" w:sz="4" w:space="0" w:color="auto"/>
              <w:left w:val="single" w:sz="4" w:space="0" w:color="auto"/>
              <w:bottom w:val="single" w:sz="4" w:space="0" w:color="auto"/>
              <w:right w:val="single" w:sz="4" w:space="0" w:color="auto"/>
            </w:tcBorders>
            <w:vAlign w:val="center"/>
          </w:tcPr>
          <w:p w:rsidR="006C6769" w:rsidRDefault="006E4BEF" w:rsidP="006C6769">
            <w:pPr>
              <w:rPr>
                <w:rFonts w:ascii="Arial" w:hAnsi="Arial" w:cs="Arial"/>
                <w:sz w:val="20"/>
                <w:szCs w:val="20"/>
              </w:rPr>
            </w:pPr>
            <w:r>
              <w:rPr>
                <w:rFonts w:ascii="Arial" w:hAnsi="Arial" w:cs="Arial"/>
                <w:sz w:val="20"/>
                <w:szCs w:val="20"/>
              </w:rPr>
              <w:t>NA</w:t>
            </w:r>
          </w:p>
        </w:tc>
        <w:tc>
          <w:tcPr>
            <w:tcW w:w="2268" w:type="dxa"/>
            <w:tcBorders>
              <w:top w:val="single" w:sz="4" w:space="0" w:color="auto"/>
              <w:left w:val="single" w:sz="4" w:space="0" w:color="auto"/>
              <w:bottom w:val="single" w:sz="4" w:space="0" w:color="auto"/>
              <w:right w:val="single" w:sz="4" w:space="0" w:color="auto"/>
            </w:tcBorders>
          </w:tcPr>
          <w:p w:rsidR="006C6769" w:rsidRDefault="006C6769" w:rsidP="006C6769">
            <w:pPr>
              <w:rPr>
                <w:sz w:val="24"/>
                <w:szCs w:val="24"/>
              </w:rPr>
            </w:pPr>
          </w:p>
        </w:tc>
        <w:tc>
          <w:tcPr>
            <w:tcW w:w="458" w:type="dxa"/>
            <w:tcBorders>
              <w:top w:val="single" w:sz="4" w:space="0" w:color="auto"/>
              <w:left w:val="single" w:sz="4" w:space="0" w:color="auto"/>
              <w:bottom w:val="single" w:sz="4" w:space="0" w:color="auto"/>
              <w:right w:val="single" w:sz="4" w:space="0" w:color="auto"/>
            </w:tcBorders>
          </w:tcPr>
          <w:p w:rsidR="006C6769" w:rsidRDefault="006C6769" w:rsidP="006C6769">
            <w:pPr>
              <w:jc w:val="center"/>
              <w:rPr>
                <w:rFonts w:ascii="Arial" w:hAnsi="Arial" w:cs="Arial"/>
                <w:b/>
                <w:sz w:val="20"/>
                <w:szCs w:val="20"/>
              </w:rPr>
            </w:pPr>
          </w:p>
        </w:tc>
        <w:tc>
          <w:tcPr>
            <w:tcW w:w="458" w:type="dxa"/>
            <w:tcBorders>
              <w:top w:val="single" w:sz="4" w:space="0" w:color="auto"/>
              <w:left w:val="single" w:sz="4" w:space="0" w:color="auto"/>
              <w:bottom w:val="single" w:sz="4" w:space="0" w:color="auto"/>
              <w:right w:val="single" w:sz="4" w:space="0" w:color="auto"/>
            </w:tcBorders>
          </w:tcPr>
          <w:p w:rsidR="006C6769" w:rsidRDefault="006C6769" w:rsidP="006C6769">
            <w:pPr>
              <w:jc w:val="center"/>
              <w:rPr>
                <w:rFonts w:ascii="Arial"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rsidR="006C6769" w:rsidRDefault="006C6769" w:rsidP="006C6769">
            <w:pPr>
              <w:jc w:val="center"/>
              <w:rPr>
                <w:rFonts w:ascii="Arial" w:hAnsi="Arial" w:cs="Arial"/>
                <w:b/>
                <w:sz w:val="20"/>
                <w:szCs w:val="20"/>
              </w:rPr>
            </w:pPr>
          </w:p>
        </w:tc>
      </w:tr>
    </w:tbl>
    <w:p w:rsidR="00A83620" w:rsidRPr="00E15821" w:rsidRDefault="00A83620" w:rsidP="00A83620">
      <w:pPr>
        <w:rPr>
          <w:rFonts w:ascii="Arial" w:hAnsi="Arial" w:cs="Arial"/>
          <w:b/>
          <w:sz w:val="24"/>
          <w:szCs w:val="24"/>
        </w:rPr>
      </w:pPr>
    </w:p>
    <w:p w:rsidR="00326A78" w:rsidRPr="00E15821" w:rsidRDefault="00326A78" w:rsidP="00A83620">
      <w:pPr>
        <w:rPr>
          <w:rFonts w:ascii="Arial" w:hAnsi="Arial" w:cs="Arial"/>
          <w:b/>
          <w:sz w:val="24"/>
          <w:szCs w:val="24"/>
        </w:rPr>
        <w:sectPr w:rsidR="00326A78" w:rsidRPr="00E15821" w:rsidSect="004E0EE7">
          <w:headerReference w:type="default" r:id="rId8"/>
          <w:footerReference w:type="default" r:id="rId9"/>
          <w:pgSz w:w="16838" w:h="11906" w:orient="landscape"/>
          <w:pgMar w:top="1440" w:right="1440" w:bottom="1440" w:left="1440" w:header="284" w:footer="708" w:gutter="0"/>
          <w:cols w:space="708"/>
          <w:docGrid w:linePitch="360"/>
        </w:sectPr>
      </w:pPr>
    </w:p>
    <w:p w:rsidR="00326A78" w:rsidRPr="00E15821" w:rsidRDefault="00326A78" w:rsidP="00326A78">
      <w:pPr>
        <w:keepNext/>
        <w:shd w:val="solid" w:color="auto" w:fill="FFFFFF"/>
        <w:spacing w:after="0" w:line="240" w:lineRule="auto"/>
        <w:outlineLvl w:val="0"/>
        <w:rPr>
          <w:rFonts w:ascii="Arial" w:eastAsia="Times New Roman" w:hAnsi="Arial" w:cs="Arial"/>
          <w:b/>
          <w:bCs/>
          <w:sz w:val="24"/>
          <w:szCs w:val="24"/>
        </w:rPr>
      </w:pPr>
      <w:bookmarkStart w:id="0" w:name="_Toc274059160"/>
      <w:r w:rsidRPr="00E15821">
        <w:rPr>
          <w:rFonts w:ascii="Arial" w:eastAsia="Times New Roman" w:hAnsi="Arial" w:cs="Arial"/>
          <w:b/>
          <w:bCs/>
          <w:sz w:val="24"/>
          <w:szCs w:val="24"/>
        </w:rPr>
        <w:t>Risk assessment matrix</w:t>
      </w:r>
      <w:bookmarkEnd w:id="0"/>
    </w:p>
    <w:p w:rsidR="00326A78" w:rsidRPr="00E15821" w:rsidRDefault="00326A78" w:rsidP="00326A78">
      <w:pPr>
        <w:autoSpaceDE w:val="0"/>
        <w:autoSpaceDN w:val="0"/>
        <w:adjustRightInd w:val="0"/>
        <w:spacing w:after="0" w:line="240" w:lineRule="auto"/>
        <w:rPr>
          <w:rFonts w:ascii="Arial" w:eastAsia="Times New Roman" w:hAnsi="Arial" w:cs="Arial"/>
          <w:b/>
          <w:bCs/>
          <w:sz w:val="24"/>
          <w:szCs w:val="20"/>
          <w:lang w:eastAsia="en-GB"/>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Acceptable Risk</w:t>
      </w:r>
    </w:p>
    <w:p w:rsidR="00326A78" w:rsidRPr="004E0EE7" w:rsidRDefault="00326A78" w:rsidP="00326A78">
      <w:p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Risk is tolerable as long as it is well managed and controlled.  In addition to identified hazards, all incidents claims and complaints will be risk assessed according to the following process and investigated according to the severity or the consequence and likelihood of (re)occurrence.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197D59" w:rsidRDefault="00326A78" w:rsidP="00326A78">
      <w:pPr>
        <w:autoSpaceDE w:val="0"/>
        <w:autoSpaceDN w:val="0"/>
        <w:adjustRightInd w:val="0"/>
        <w:spacing w:after="0" w:line="240" w:lineRule="auto"/>
        <w:rPr>
          <w:rFonts w:ascii="Arial" w:eastAsia="Times New Roman" w:hAnsi="Arial" w:cs="Arial"/>
          <w:b/>
          <w:bCs/>
          <w:sz w:val="24"/>
          <w:szCs w:val="20"/>
          <w:lang w:eastAsia="en-GB"/>
        </w:rPr>
      </w:pPr>
      <w:r w:rsidRPr="00197D59">
        <w:rPr>
          <w:rFonts w:ascii="Arial" w:eastAsia="Times New Roman" w:hAnsi="Arial" w:cs="Arial"/>
          <w:b/>
          <w:bCs/>
          <w:sz w:val="24"/>
          <w:szCs w:val="20"/>
          <w:lang w:eastAsia="en-GB"/>
        </w:rPr>
        <w:t>All Risk Assessments within the Trust will identify:</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 xml:space="preserve">The hazards within the Task/ area being assessed inherent in the work undertaken </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who and how many people would be affected</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often specific events are likely to happen (may be based on frequency of previous occurrence):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severe the effect or consequence would be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controllable the hazards are.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r w:rsidRPr="0036344A">
        <w:rPr>
          <w:rFonts w:ascii="Arial" w:eastAsia="Times New Roman" w:hAnsi="Arial" w:cs="Arial"/>
          <w:szCs w:val="20"/>
          <w:lang w:eastAsia="en-GB"/>
        </w:rPr>
        <w:t>Acceptable risk will be determined using the following traffic light system:</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4E0EE7" w:rsidRDefault="00326A78" w:rsidP="00326A78">
      <w:pPr>
        <w:spacing w:after="0" w:line="240" w:lineRule="auto"/>
        <w:rPr>
          <w:rFonts w:ascii="Arial" w:eastAsia="Times New Roman" w:hAnsi="Arial" w:cs="Arial"/>
          <w:b/>
          <w:sz w:val="24"/>
          <w:szCs w:val="20"/>
          <w:u w:val="single"/>
        </w:rPr>
      </w:pPr>
      <w:r w:rsidRPr="004E0EE7">
        <w:rPr>
          <w:rFonts w:ascii="Arial" w:eastAsia="Times New Roman" w:hAnsi="Arial" w:cs="Arial"/>
          <w:b/>
          <w:sz w:val="24"/>
          <w:szCs w:val="20"/>
          <w:u w:val="single"/>
        </w:rPr>
        <w:t>Severity/consequence</w:t>
      </w:r>
    </w:p>
    <w:p w:rsidR="00326A78" w:rsidRPr="0036344A" w:rsidRDefault="00326A78" w:rsidP="00326A78">
      <w:pPr>
        <w:spacing w:after="120" w:line="240" w:lineRule="auto"/>
        <w:rPr>
          <w:rFonts w:ascii="Arial" w:eastAsia="Times New Roman" w:hAnsi="Arial" w:cs="Arial"/>
          <w:szCs w:val="20"/>
        </w:rPr>
      </w:pPr>
      <w:r w:rsidRPr="0036344A">
        <w:rPr>
          <w:rFonts w:ascii="Arial" w:eastAsia="Times New Roman" w:hAnsi="Arial" w:cs="Arial"/>
          <w:szCs w:val="20"/>
        </w:rPr>
        <w:t>Given the (in) adequacy of the control measures, how serious the consequences are likely to be for the group, patient or Trust if the risk does occur (using the matrix).</w:t>
      </w:r>
    </w:p>
    <w:tbl>
      <w:tblPr>
        <w:tblW w:w="10026" w:type="dxa"/>
        <w:tblLayout w:type="fixed"/>
        <w:tblLook w:val="0000" w:firstRow="0" w:lastRow="0" w:firstColumn="0" w:lastColumn="0" w:noHBand="0" w:noVBand="0"/>
      </w:tblPr>
      <w:tblGrid>
        <w:gridCol w:w="1875"/>
        <w:gridCol w:w="1482"/>
        <w:gridCol w:w="1701"/>
        <w:gridCol w:w="1776"/>
        <w:gridCol w:w="1526"/>
        <w:gridCol w:w="1666"/>
      </w:tblGrid>
      <w:tr w:rsidR="00326A78" w:rsidRPr="00E15821" w:rsidTr="00F0722B">
        <w:trPr>
          <w:trHeight w:val="45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tc>
        <w:tc>
          <w:tcPr>
            <w:tcW w:w="8151" w:type="dxa"/>
            <w:gridSpan w:val="5"/>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Consequence score (severity levels) and examples of descriptors </w:t>
            </w:r>
          </w:p>
        </w:tc>
      </w:tr>
      <w:tr w:rsidR="00326A78" w:rsidRPr="00E15821" w:rsidTr="00F0722B">
        <w:trPr>
          <w:trHeight w:val="283"/>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2</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3</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4</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5</w:t>
            </w:r>
          </w:p>
        </w:tc>
      </w:tr>
      <w:tr w:rsidR="00326A78" w:rsidRPr="00E15821" w:rsidTr="00F0722B">
        <w:trPr>
          <w:trHeight w:val="268"/>
        </w:trPr>
        <w:tc>
          <w:tcPr>
            <w:tcW w:w="1875"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Domains</w:t>
            </w: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Negligible</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Minor</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Moderate</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Major</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Catastrophic</w:t>
            </w:r>
          </w:p>
        </w:tc>
      </w:tr>
      <w:tr w:rsidR="00326A78" w:rsidRPr="00E15821" w:rsidTr="00F0722B">
        <w:trPr>
          <w:trHeight w:val="1903"/>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F0722B">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Impact on the safety of patients, staff or public (physical/</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psychological harm)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injury requiring no/minimal intervention or treatment.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No time off work</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injury or illness, requiring minor intervention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DD6BE9" w:rsidP="00F0722B">
            <w:pPr>
              <w:widowControl w:val="0"/>
              <w:autoSpaceDE w:val="0"/>
              <w:autoSpaceDN w:val="0"/>
              <w:adjustRightInd w:val="0"/>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 xml:space="preserve">Requiring time </w:t>
            </w:r>
            <w:r w:rsidR="006C7014">
              <w:rPr>
                <w:rFonts w:ascii="Arial" w:eastAsia="Times New Roman" w:hAnsi="Arial" w:cs="Arial"/>
                <w:sz w:val="16"/>
                <w:szCs w:val="16"/>
                <w:lang w:val="en-US"/>
              </w:rPr>
              <w:t xml:space="preserve">off work for </w:t>
            </w:r>
            <w:r w:rsidR="006C7014">
              <w:t>≤</w:t>
            </w:r>
            <w:r w:rsidR="00326A78" w:rsidRPr="00E15821">
              <w:rPr>
                <w:rFonts w:ascii="Arial" w:eastAsia="Times New Roman" w:hAnsi="Arial" w:cs="Arial"/>
                <w:sz w:val="16"/>
                <w:szCs w:val="16"/>
                <w:lang w:val="en-US"/>
              </w:rPr>
              <w:t xml:space="preserve">3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1-3 days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injury  requiring professional intervention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4-14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4-15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RIDDOR/agency reportable incident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An event which impacts on a small number of patients</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injury leading to long-term incapacity/ disability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&gt;14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&gt;15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Mismanagement of patient care with long-term effects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to death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Multiple permanent injuries or irreversible health effects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An event which impacts on a large number of patients </w:t>
            </w:r>
          </w:p>
        </w:tc>
      </w:tr>
      <w:tr w:rsidR="00326A78" w:rsidRPr="00E15821" w:rsidTr="00F0722B">
        <w:trPr>
          <w:trHeight w:val="170"/>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F0722B">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Quality/complaints/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audit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Peripheral element of treatment or service suboptimal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Informal complaint/inquiry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Overall treatment or service suboptimal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1)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failure to meet internal standards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implications for patient safety if unresolved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Treatment or service has significantly reduced effectiveness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2) complaint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(with potential to go to independent review)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Repeated failure to meet internal standards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patient safety implications if findings are not acted on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Non-compliance with national standards with significant risk to patients if unresolved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complaints/ independent review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Totally unacceptable level or quality of treatment/service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of patient safety if findings not acted 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Inquest/ombudsman inquiry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to meet national standards </w:t>
            </w:r>
          </w:p>
        </w:tc>
      </w:tr>
      <w:tr w:rsidR="00326A78" w:rsidRPr="00E15821" w:rsidTr="00F0722B">
        <w:trPr>
          <w:cantSplit/>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Human resources/ </w:t>
            </w:r>
            <w:proofErr w:type="spellStart"/>
            <w:r w:rsidRPr="00E15821">
              <w:rPr>
                <w:rFonts w:ascii="Arial" w:eastAsia="Times New Roman" w:hAnsi="Arial" w:cs="Arial"/>
                <w:b/>
                <w:sz w:val="16"/>
                <w:szCs w:val="16"/>
                <w:lang w:val="en-US"/>
              </w:rPr>
              <w:t>organisational</w:t>
            </w:r>
            <w:proofErr w:type="spellEnd"/>
            <w:r w:rsidRPr="00E15821">
              <w:rPr>
                <w:rFonts w:ascii="Arial" w:eastAsia="Times New Roman" w:hAnsi="Arial" w:cs="Arial"/>
                <w:b/>
                <w:sz w:val="16"/>
                <w:szCs w:val="16"/>
                <w:lang w:val="en-US"/>
              </w:rPr>
              <w:t xml:space="preserve"> development/ staffing/ competence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low staffing level that temporarily reduces service quality (&lt; 1 day)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staffing level that reduces the service quality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Late delivery of key objective/ 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(&gt;1 day)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 morale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Poor staff attendance for mandatory/key training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key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Very low staff morale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key training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Ongoing unsafe staffing levels or competence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several key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training /key training on an ongoing basis </w:t>
            </w:r>
          </w:p>
        </w:tc>
      </w:tr>
      <w:tr w:rsidR="00326A78" w:rsidRPr="00E15821" w:rsidTr="00F0722B">
        <w:trPr>
          <w:trHeight w:val="138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Statutory duty/ inspections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or minimal impact or breech of guidance/ statutory duty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Breach of statutory legislation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breech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Challenging external recommendations/ improvement notice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Enforcement action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Improvement notices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Prosecution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Complete systems change required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Zero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Severely critical report </w:t>
            </w:r>
          </w:p>
        </w:tc>
      </w:tr>
      <w:tr w:rsidR="00326A78" w:rsidRPr="00E15821" w:rsidTr="00F0722B">
        <w:trPr>
          <w:trHeight w:val="130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Adverse publicity/ reputation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roofErr w:type="spellStart"/>
            <w:r w:rsidRPr="00E15821">
              <w:rPr>
                <w:rFonts w:ascii="Arial" w:eastAsia="Times New Roman" w:hAnsi="Arial" w:cs="Arial"/>
                <w:sz w:val="16"/>
                <w:szCs w:val="16"/>
                <w:lang w:val="en-US"/>
              </w:rPr>
              <w:t>Rumours</w:t>
            </w:r>
            <w:proofErr w:type="spellEnd"/>
            <w:r w:rsidRPr="00E15821">
              <w:rPr>
                <w:rFonts w:ascii="Arial" w:eastAsia="Times New Roman" w:hAnsi="Arial" w:cs="Arial"/>
                <w:sz w:val="16"/>
                <w:szCs w:val="16"/>
                <w:lang w:val="en-US"/>
              </w:rPr>
              <w:t xml:space="preserve"> </w:t>
            </w:r>
          </w:p>
          <w:p w:rsidR="00326A78" w:rsidRPr="00E15821" w:rsidRDefault="00326A78" w:rsidP="00F0722B">
            <w:pPr>
              <w:widowControl w:val="0"/>
              <w:autoSpaceDE w:val="0"/>
              <w:autoSpaceDN w:val="0"/>
              <w:adjustRightInd w:val="0"/>
              <w:spacing w:after="0" w:line="240" w:lineRule="auto"/>
              <w:ind w:left="-2315"/>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Potential for public concern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media coverage –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reduction in public confidence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Elements of public expectation not being met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Local media coverage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long-term reduction in public confidence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&lt;3 days service well below reasonable public expectation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&gt;3 days service well below reasonable public expectation. MP concerned (questions in the House)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 loss of public confidence </w:t>
            </w:r>
          </w:p>
        </w:tc>
      </w:tr>
      <w:tr w:rsidR="00326A78" w:rsidRPr="00E15821" w:rsidTr="00F0722B">
        <w:trPr>
          <w:trHeight w:val="96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Business objectives/ projects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Insignificant cost increase/ 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&lt;5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5–10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10–25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&gt;25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r>
      <w:tr w:rsidR="00326A78" w:rsidRPr="00E15821" w:rsidTr="00F0722B">
        <w:trPr>
          <w:trHeight w:val="158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Finance including claims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Small loss Risk of claim remote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0.1–0.25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 less than £10,000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0.25–0.5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between £10,000 and £100,000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objective/Loss of 0.5–1.0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Claim(s) between £100,000 and £1 million</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Purchasers failing to pay on time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 Loss of &gt;1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Failure to meet specification/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contract / payment by results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&gt;£1 million </w:t>
            </w:r>
          </w:p>
        </w:tc>
      </w:tr>
      <w:tr w:rsidR="00326A78" w:rsidRPr="00E15821" w:rsidTr="00F0722B">
        <w:trPr>
          <w:trHeight w:val="75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Service/business interruption Environmental impact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hour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or no impact on the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Loss/interruption of &gt;8 hours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impact on environment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day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impact on environment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week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impact on environment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Permanent loss of service or facility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Catastrophic impact on environment </w:t>
            </w:r>
          </w:p>
        </w:tc>
      </w:tr>
    </w:tbl>
    <w:p w:rsidR="007538B0" w:rsidRDefault="007538B0" w:rsidP="00326A78">
      <w:pPr>
        <w:autoSpaceDE w:val="0"/>
        <w:autoSpaceDN w:val="0"/>
        <w:adjustRightInd w:val="0"/>
        <w:spacing w:after="0" w:line="240" w:lineRule="auto"/>
        <w:rPr>
          <w:rFonts w:ascii="Arial" w:eastAsia="Times New Roman" w:hAnsi="Arial" w:cs="Arial"/>
          <w:b/>
          <w:bCs/>
          <w:sz w:val="24"/>
          <w:szCs w:val="20"/>
          <w:u w:val="single"/>
          <w:lang w:eastAsia="en-GB"/>
        </w:rPr>
      </w:pPr>
    </w:p>
    <w:p w:rsidR="00326A78" w:rsidRPr="004E0EE7" w:rsidRDefault="0036344A"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L</w:t>
      </w:r>
      <w:r w:rsidR="00326A78" w:rsidRPr="004E0EE7">
        <w:rPr>
          <w:rFonts w:ascii="Arial" w:eastAsia="Times New Roman" w:hAnsi="Arial" w:cs="Arial"/>
          <w:b/>
          <w:bCs/>
          <w:sz w:val="24"/>
          <w:szCs w:val="20"/>
          <w:u w:val="single"/>
          <w:lang w:eastAsia="en-GB"/>
        </w:rPr>
        <w:t>ikelihood</w:t>
      </w:r>
    </w:p>
    <w:p w:rsidR="00326A78" w:rsidRPr="00197D59" w:rsidRDefault="00326A78" w:rsidP="00197D59">
      <w:pPr>
        <w:autoSpaceDE w:val="0"/>
        <w:autoSpaceDN w:val="0"/>
        <w:adjustRightInd w:val="0"/>
        <w:spacing w:after="120" w:line="240" w:lineRule="auto"/>
        <w:jc w:val="both"/>
        <w:rPr>
          <w:rFonts w:ascii="Arial" w:eastAsia="Times New Roman" w:hAnsi="Arial" w:cs="Arial"/>
          <w:sz w:val="20"/>
          <w:szCs w:val="20"/>
          <w:lang w:eastAsia="en-GB"/>
        </w:rPr>
      </w:pPr>
      <w:r w:rsidRPr="00197D59">
        <w:rPr>
          <w:rFonts w:ascii="Arial" w:eastAsia="Times New Roman" w:hAnsi="Arial" w:cs="Arial"/>
          <w:sz w:val="20"/>
          <w:szCs w:val="20"/>
          <w:lang w:eastAsia="en-GB"/>
        </w:rPr>
        <w:t>Given the (in) adequacy of the control measures for each risk, decide how likely the risk is to happen according to the following guide.  Scores range from 1 for rare to 5 for very likely.</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3"/>
        <w:gridCol w:w="1884"/>
        <w:gridCol w:w="7009"/>
      </w:tblGrid>
      <w:tr w:rsidR="00326A78" w:rsidRPr="00197D59" w:rsidTr="00F0722B">
        <w:trPr>
          <w:trHeight w:val="263"/>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Score</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Descriptor</w:t>
            </w:r>
          </w:p>
        </w:tc>
        <w:tc>
          <w:tcPr>
            <w:tcW w:w="7009"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Description</w:t>
            </w:r>
          </w:p>
        </w:tc>
      </w:tr>
      <w:tr w:rsidR="00326A78" w:rsidRPr="00197D59" w:rsidTr="00F0722B">
        <w:trPr>
          <w:trHeight w:val="825"/>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1</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Rare</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Extremely unlikely to happen/recur – may occur only in exceptional circumstances – has never happened before and don’t think it will happen (again)</w:t>
            </w:r>
          </w:p>
        </w:tc>
      </w:tr>
      <w:tr w:rsidR="00326A78" w:rsidRPr="00197D59" w:rsidTr="00F0722B">
        <w:trPr>
          <w:trHeight w:val="562"/>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2</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Unlikely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Unlikely to occur/reoccur but possible.   Rarely occurred before, less than once per year.  Could happen at some time</w:t>
            </w:r>
          </w:p>
        </w:tc>
      </w:tr>
      <w:tr w:rsidR="00326A78" w:rsidRPr="00197D59" w:rsidTr="00F0722B">
        <w:trPr>
          <w:trHeight w:val="544"/>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3</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Possible</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May occur/reoccur.  But not definitely.  Happened before but only occasionally - once or twice a year</w:t>
            </w:r>
          </w:p>
        </w:tc>
      </w:tr>
      <w:tr w:rsidR="00326A78" w:rsidRPr="00197D59" w:rsidTr="00F0722B">
        <w:trPr>
          <w:trHeight w:val="544"/>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4</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Will probably occur/reoccur.  Has happened before but not regularly – several times a month.  Will occur at some time.</w:t>
            </w:r>
          </w:p>
        </w:tc>
      </w:tr>
      <w:tr w:rsidR="00326A78" w:rsidRPr="00197D59" w:rsidTr="00F0722B">
        <w:trPr>
          <w:trHeight w:val="843"/>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5</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Very 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Continuous exposure to risk.  Has happened before regularly and frequently – is expected to happen in most circumstances.  Occurs on a daily basis</w:t>
            </w:r>
          </w:p>
        </w:tc>
      </w:tr>
    </w:tbl>
    <w:p w:rsidR="00326A78" w:rsidRPr="00E15821" w:rsidRDefault="00326A78" w:rsidP="00326A78">
      <w:pPr>
        <w:spacing w:after="0" w:line="240" w:lineRule="auto"/>
        <w:jc w:val="center"/>
        <w:rPr>
          <w:rFonts w:ascii="Arial" w:eastAsia="Times New Roman" w:hAnsi="Arial" w:cs="Arial"/>
          <w:sz w:val="24"/>
          <w:szCs w:val="20"/>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Risk Score is determined by Severity x Likelihood</w:t>
      </w:r>
    </w:p>
    <w:p w:rsidR="00326A78" w:rsidRPr="00E15821" w:rsidRDefault="00326A78" w:rsidP="00326A78">
      <w:pPr>
        <w:spacing w:after="0" w:line="240" w:lineRule="auto"/>
        <w:jc w:val="center"/>
        <w:rPr>
          <w:rFonts w:ascii="Arial" w:eastAsia="Times New Roman" w:hAnsi="Arial" w:cs="Arial"/>
          <w:sz w:val="24"/>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1"/>
        <w:gridCol w:w="1721"/>
        <w:gridCol w:w="1722"/>
        <w:gridCol w:w="1721"/>
        <w:gridCol w:w="1721"/>
        <w:gridCol w:w="1743"/>
      </w:tblGrid>
      <w:tr w:rsidR="00326A78" w:rsidRPr="00197D59" w:rsidTr="00F0722B">
        <w:trPr>
          <w:trHeight w:val="265"/>
        </w:trPr>
        <w:tc>
          <w:tcPr>
            <w:tcW w:w="1721" w:type="dxa"/>
          </w:tcPr>
          <w:p w:rsidR="00326A78" w:rsidRPr="00197D59" w:rsidRDefault="00326A78" w:rsidP="00F0722B">
            <w:pPr>
              <w:spacing w:after="0" w:line="240" w:lineRule="auto"/>
              <w:jc w:val="center"/>
              <w:rPr>
                <w:rFonts w:ascii="Arial" w:eastAsia="Times New Roman" w:hAnsi="Arial" w:cs="Arial"/>
                <w:b/>
                <w:sz w:val="20"/>
                <w:szCs w:val="20"/>
              </w:rPr>
            </w:pPr>
          </w:p>
        </w:tc>
        <w:tc>
          <w:tcPr>
            <w:tcW w:w="8628" w:type="dxa"/>
            <w:gridSpan w:val="5"/>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Consequence</w:t>
            </w:r>
          </w:p>
        </w:tc>
      </w:tr>
      <w:tr w:rsidR="00326A78" w:rsidRPr="00197D59" w:rsidTr="00F0722B">
        <w:trPr>
          <w:trHeight w:val="548"/>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Likelihood</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p w:rsidR="00326A78" w:rsidRPr="00197D59" w:rsidRDefault="004E0EE7" w:rsidP="00F0722B">
            <w:pPr>
              <w:spacing w:after="0" w:line="240" w:lineRule="auto"/>
              <w:jc w:val="center"/>
              <w:rPr>
                <w:rFonts w:ascii="Arial" w:eastAsia="Times New Roman" w:hAnsi="Arial" w:cs="Arial"/>
                <w:b/>
                <w:sz w:val="20"/>
                <w:szCs w:val="20"/>
              </w:rPr>
            </w:pPr>
            <w:r>
              <w:rPr>
                <w:rFonts w:ascii="Arial" w:eastAsia="Times New Roman" w:hAnsi="Arial" w:cs="Arial"/>
                <w:b/>
                <w:sz w:val="20"/>
                <w:szCs w:val="20"/>
              </w:rPr>
              <w:t>I</w:t>
            </w:r>
            <w:r w:rsidR="00326A78" w:rsidRPr="00197D59">
              <w:rPr>
                <w:rFonts w:ascii="Arial" w:eastAsia="Times New Roman" w:hAnsi="Arial" w:cs="Arial"/>
                <w:b/>
                <w:sz w:val="20"/>
                <w:szCs w:val="20"/>
              </w:rPr>
              <w:t>nsignificant</w:t>
            </w:r>
          </w:p>
        </w:tc>
        <w:tc>
          <w:tcPr>
            <w:tcW w:w="1722"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Minor</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Moderate</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Major</w:t>
            </w:r>
          </w:p>
        </w:tc>
        <w:tc>
          <w:tcPr>
            <w:tcW w:w="1743"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Catastrophic</w:t>
            </w:r>
          </w:p>
        </w:tc>
      </w:tr>
      <w:tr w:rsidR="00326A78" w:rsidRPr="00197D59" w:rsidTr="00F0722B">
        <w:trPr>
          <w:trHeight w:val="5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5 – Almost certain</w:t>
            </w:r>
          </w:p>
        </w:tc>
        <w:tc>
          <w:tcPr>
            <w:tcW w:w="1721" w:type="dxa"/>
            <w:tcBorders>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c>
          <w:tcPr>
            <w:tcW w:w="1722"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c>
          <w:tcPr>
            <w:tcW w:w="1721" w:type="dxa"/>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c>
          <w:tcPr>
            <w:tcW w:w="1743" w:type="dxa"/>
            <w:shd w:val="clear" w:color="auto" w:fill="9933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25</w:t>
            </w:r>
          </w:p>
        </w:tc>
      </w:tr>
      <w:tr w:rsidR="00326A78" w:rsidRPr="00197D59" w:rsidTr="00F0722B">
        <w:trPr>
          <w:trHeight w:val="265"/>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4 - Likely</w:t>
            </w:r>
          </w:p>
        </w:tc>
        <w:tc>
          <w:tcPr>
            <w:tcW w:w="1721" w:type="dxa"/>
            <w:tcBorders>
              <w:top w:val="single" w:sz="24" w:space="0" w:color="auto"/>
              <w:left w:val="single" w:sz="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2" w:type="dxa"/>
            <w:tcBorders>
              <w:left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21" w:type="dxa"/>
            <w:tcBorders>
              <w:bottom w:val="single" w:sz="4" w:space="0" w:color="auto"/>
            </w:tcBorders>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16</w:t>
            </w:r>
          </w:p>
        </w:tc>
        <w:tc>
          <w:tcPr>
            <w:tcW w:w="1743" w:type="dxa"/>
            <w:tcBorders>
              <w:bottom w:val="single" w:sz="4" w:space="0" w:color="auto"/>
            </w:tcBorders>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r>
      <w:tr w:rsidR="00326A78" w:rsidRPr="00197D59" w:rsidTr="00F0722B">
        <w:trPr>
          <w:trHeight w:val="283"/>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3 – Possible</w:t>
            </w:r>
          </w:p>
        </w:tc>
        <w:tc>
          <w:tcPr>
            <w:tcW w:w="1721" w:type="dxa"/>
            <w:tcBorders>
              <w:top w:val="single" w:sz="4" w:space="0" w:color="auto"/>
              <w:left w:val="single" w:sz="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2" w:type="dxa"/>
            <w:tcBorders>
              <w:left w:val="single" w:sz="24" w:space="0" w:color="auto"/>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9</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43"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r>
      <w:tr w:rsidR="00326A78" w:rsidRPr="00197D59" w:rsidTr="00F0722B">
        <w:trPr>
          <w:trHeight w:val="2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2 – Unlikely</w:t>
            </w:r>
          </w:p>
        </w:tc>
        <w:tc>
          <w:tcPr>
            <w:tcW w:w="1721" w:type="dxa"/>
            <w:tcBorders>
              <w:top w:val="single" w:sz="4" w:space="0" w:color="auto"/>
              <w:bottom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2" w:type="dxa"/>
            <w:tcBorders>
              <w:top w:val="single" w:sz="2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1" w:type="dxa"/>
            <w:tcBorders>
              <w:left w:val="single" w:sz="24" w:space="0" w:color="auto"/>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tcBorders>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43"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r>
      <w:tr w:rsidR="00326A78" w:rsidRPr="00197D59" w:rsidTr="00F0722B">
        <w:trPr>
          <w:trHeight w:val="283"/>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1 - Rare</w:t>
            </w:r>
          </w:p>
        </w:tc>
        <w:tc>
          <w:tcPr>
            <w:tcW w:w="1721" w:type="dxa"/>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tc>
        <w:tc>
          <w:tcPr>
            <w:tcW w:w="1722" w:type="dxa"/>
            <w:tcBorders>
              <w:right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1" w:type="dxa"/>
            <w:tcBorders>
              <w:top w:val="single" w:sz="24" w:space="0" w:color="auto"/>
              <w:left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1" w:type="dxa"/>
            <w:tcBorders>
              <w:top w:val="single" w:sz="2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43" w:type="dxa"/>
            <w:tcBorders>
              <w:left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r>
    </w:tbl>
    <w:p w:rsidR="0036344A" w:rsidRDefault="0036344A" w:rsidP="00A83620">
      <w:pPr>
        <w:rPr>
          <w:rFonts w:ascii="Arial" w:hAnsi="Arial" w:cs="Arial"/>
          <w:b/>
          <w:sz w:val="24"/>
          <w:szCs w:val="24"/>
        </w:rPr>
      </w:pPr>
    </w:p>
    <w:p w:rsidR="00326A78" w:rsidRPr="00E15821" w:rsidRDefault="0036344A" w:rsidP="00A83620">
      <w:pPr>
        <w:rPr>
          <w:rFonts w:ascii="Arial" w:hAnsi="Arial" w:cs="Arial"/>
          <w:b/>
          <w:sz w:val="24"/>
          <w:szCs w:val="24"/>
        </w:rPr>
      </w:pPr>
      <w:r>
        <w:rPr>
          <w:noProof/>
          <w:lang w:eastAsia="en-GB"/>
        </w:rPr>
        <w:drawing>
          <wp:inline distT="0" distB="0" distL="0" distR="0" wp14:anchorId="0D390489" wp14:editId="5FF5B8E6">
            <wp:extent cx="4987636" cy="2220841"/>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6324" cy="2224709"/>
                    </a:xfrm>
                    <a:prstGeom prst="rect">
                      <a:avLst/>
                    </a:prstGeom>
                  </pic:spPr>
                </pic:pic>
              </a:graphicData>
            </a:graphic>
          </wp:inline>
        </w:drawing>
      </w:r>
      <w:r w:rsidR="00326A78" w:rsidRPr="00E15821">
        <w:rPr>
          <w:rFonts w:ascii="Arial" w:hAnsi="Arial" w:cs="Arial"/>
          <w:b/>
          <w:sz w:val="24"/>
          <w:szCs w:val="24"/>
        </w:rPr>
        <w:t xml:space="preserve"> </w:t>
      </w:r>
    </w:p>
    <w:sectPr w:rsidR="00326A78" w:rsidRPr="00E15821" w:rsidSect="00326A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B37" w:rsidRDefault="00397B37" w:rsidP="00FC4C1F">
      <w:pPr>
        <w:spacing w:after="0" w:line="240" w:lineRule="auto"/>
      </w:pPr>
      <w:r>
        <w:separator/>
      </w:r>
    </w:p>
  </w:endnote>
  <w:endnote w:type="continuationSeparator" w:id="0">
    <w:p w:rsidR="00397B37" w:rsidRDefault="00397B37" w:rsidP="00FC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776" w:type="dxa"/>
      <w:jc w:val="center"/>
      <w:tblLook w:val="04A0" w:firstRow="1" w:lastRow="0" w:firstColumn="1" w:lastColumn="0" w:noHBand="0" w:noVBand="1"/>
    </w:tblPr>
    <w:tblGrid>
      <w:gridCol w:w="5098"/>
      <w:gridCol w:w="3678"/>
    </w:tblGrid>
    <w:tr w:rsidR="00197D59" w:rsidRPr="00E95D5F" w:rsidTr="00197D59">
      <w:trPr>
        <w:trHeight w:val="250"/>
        <w:jc w:val="center"/>
      </w:trPr>
      <w:tc>
        <w:tcPr>
          <w:tcW w:w="5098" w:type="dxa"/>
        </w:tcPr>
        <w:p w:rsidR="00197D59" w:rsidRPr="00E95D5F" w:rsidRDefault="00197D59" w:rsidP="003218CA">
          <w:pPr>
            <w:pStyle w:val="Footer"/>
            <w:rPr>
              <w:rFonts w:ascii="Arial" w:hAnsi="Arial" w:cs="Arial"/>
              <w:sz w:val="20"/>
            </w:rPr>
          </w:pPr>
          <w:r w:rsidRPr="00E95D5F">
            <w:rPr>
              <w:rFonts w:ascii="Arial" w:hAnsi="Arial" w:cs="Arial"/>
              <w:sz w:val="20"/>
            </w:rPr>
            <w:t xml:space="preserve">Author: </w:t>
          </w:r>
          <w:r w:rsidR="003218CA">
            <w:rPr>
              <w:rFonts w:ascii="Arial" w:hAnsi="Arial" w:cs="Arial"/>
              <w:sz w:val="20"/>
            </w:rPr>
            <w:t>N. Hodges</w:t>
          </w:r>
        </w:p>
      </w:tc>
      <w:tc>
        <w:tcPr>
          <w:tcW w:w="3678" w:type="dxa"/>
        </w:tcPr>
        <w:p w:rsidR="00197D59" w:rsidRPr="00E95D5F" w:rsidRDefault="007538B0" w:rsidP="003218CA">
          <w:pPr>
            <w:pStyle w:val="Footer"/>
            <w:ind w:firstLine="36"/>
            <w:rPr>
              <w:rFonts w:ascii="Arial" w:hAnsi="Arial" w:cs="Arial"/>
              <w:sz w:val="20"/>
            </w:rPr>
          </w:pPr>
          <w:r>
            <w:rPr>
              <w:rFonts w:ascii="Arial" w:hAnsi="Arial" w:cs="Arial"/>
              <w:sz w:val="20"/>
            </w:rPr>
            <w:t>Edition No: 8</w:t>
          </w:r>
        </w:p>
      </w:tc>
    </w:tr>
    <w:tr w:rsidR="00197D59" w:rsidRPr="00E95D5F" w:rsidTr="00197D59">
      <w:trPr>
        <w:trHeight w:val="250"/>
        <w:jc w:val="center"/>
      </w:trPr>
      <w:tc>
        <w:tcPr>
          <w:tcW w:w="5098" w:type="dxa"/>
        </w:tcPr>
        <w:p w:rsidR="00197D59" w:rsidRPr="00E95D5F" w:rsidRDefault="003218CA" w:rsidP="003218CA">
          <w:pPr>
            <w:pStyle w:val="Footer"/>
            <w:ind w:right="-254"/>
            <w:rPr>
              <w:rFonts w:ascii="Arial" w:hAnsi="Arial" w:cs="Arial"/>
              <w:sz w:val="20"/>
            </w:rPr>
          </w:pPr>
          <w:r>
            <w:rPr>
              <w:rFonts w:ascii="Arial" w:hAnsi="Arial" w:cs="Arial"/>
              <w:sz w:val="20"/>
            </w:rPr>
            <w:t>Approved by: F. Mills</w:t>
          </w:r>
          <w:r w:rsidR="00024DA9">
            <w:rPr>
              <w:rFonts w:ascii="Arial" w:hAnsi="Arial" w:cs="Arial"/>
              <w:sz w:val="20"/>
            </w:rPr>
            <w:t xml:space="preserve"> &amp; K. Day</w:t>
          </w:r>
          <w:r w:rsidR="00197D59" w:rsidRPr="00E95D5F">
            <w:rPr>
              <w:rFonts w:ascii="Arial" w:hAnsi="Arial" w:cs="Arial"/>
              <w:sz w:val="20"/>
            </w:rPr>
            <w:tab/>
            <w:t xml:space="preserve">                                                  </w:t>
          </w:r>
        </w:p>
      </w:tc>
      <w:tc>
        <w:tcPr>
          <w:tcW w:w="3678" w:type="dxa"/>
        </w:tcPr>
        <w:p w:rsidR="00197D59" w:rsidRPr="00E95D5F" w:rsidRDefault="003218CA" w:rsidP="003218CA">
          <w:pPr>
            <w:pStyle w:val="Footer"/>
            <w:ind w:firstLine="36"/>
            <w:rPr>
              <w:rFonts w:ascii="Arial" w:hAnsi="Arial" w:cs="Arial"/>
              <w:sz w:val="20"/>
            </w:rPr>
          </w:pPr>
          <w:r>
            <w:rPr>
              <w:rFonts w:ascii="Arial" w:hAnsi="Arial" w:cs="Arial"/>
              <w:sz w:val="20"/>
            </w:rPr>
            <w:t>Active Date: 21/10/2021</w:t>
          </w:r>
        </w:p>
      </w:tc>
    </w:tr>
    <w:tr w:rsidR="00197D59" w:rsidRPr="00E95D5F" w:rsidTr="00A02447">
      <w:trPr>
        <w:trHeight w:val="250"/>
        <w:jc w:val="center"/>
      </w:trPr>
      <w:tc>
        <w:tcPr>
          <w:tcW w:w="8776" w:type="dxa"/>
          <w:gridSpan w:val="2"/>
        </w:tcPr>
        <w:p w:rsidR="00197D59" w:rsidRPr="00E95D5F" w:rsidRDefault="00197D59" w:rsidP="00197D59">
          <w:pPr>
            <w:pStyle w:val="Footer"/>
            <w:ind w:firstLine="36"/>
            <w:jc w:val="center"/>
            <w:rPr>
              <w:rFonts w:ascii="Arial" w:hAnsi="Arial" w:cs="Arial"/>
              <w:sz w:val="20"/>
            </w:rPr>
          </w:pPr>
          <w:r w:rsidRPr="00197D59">
            <w:rPr>
              <w:rFonts w:ascii="Arial" w:hAnsi="Arial" w:cs="Arial"/>
              <w:sz w:val="20"/>
            </w:rPr>
            <w:t xml:space="preserve">Page </w:t>
          </w:r>
          <w:r w:rsidRPr="00197D59">
            <w:rPr>
              <w:rFonts w:ascii="Arial" w:hAnsi="Arial" w:cs="Arial"/>
              <w:b/>
              <w:bCs/>
              <w:sz w:val="20"/>
            </w:rPr>
            <w:fldChar w:fldCharType="begin"/>
          </w:r>
          <w:r w:rsidRPr="00197D59">
            <w:rPr>
              <w:rFonts w:ascii="Arial" w:hAnsi="Arial" w:cs="Arial"/>
              <w:b/>
              <w:bCs/>
              <w:sz w:val="20"/>
            </w:rPr>
            <w:instrText xml:space="preserve"> PAGE  \* Arabic  \* MERGEFORMAT </w:instrText>
          </w:r>
          <w:r w:rsidRPr="00197D59">
            <w:rPr>
              <w:rFonts w:ascii="Arial" w:hAnsi="Arial" w:cs="Arial"/>
              <w:b/>
              <w:bCs/>
              <w:sz w:val="20"/>
            </w:rPr>
            <w:fldChar w:fldCharType="separate"/>
          </w:r>
          <w:r w:rsidR="00E57F19">
            <w:rPr>
              <w:rFonts w:ascii="Arial" w:hAnsi="Arial" w:cs="Arial"/>
              <w:b/>
              <w:bCs/>
              <w:noProof/>
              <w:sz w:val="20"/>
            </w:rPr>
            <w:t>1</w:t>
          </w:r>
          <w:r w:rsidRPr="00197D59">
            <w:rPr>
              <w:rFonts w:ascii="Arial" w:hAnsi="Arial" w:cs="Arial"/>
              <w:b/>
              <w:bCs/>
              <w:sz w:val="20"/>
            </w:rPr>
            <w:fldChar w:fldCharType="end"/>
          </w:r>
          <w:r w:rsidRPr="00197D59">
            <w:rPr>
              <w:rFonts w:ascii="Arial" w:hAnsi="Arial" w:cs="Arial"/>
              <w:sz w:val="20"/>
            </w:rPr>
            <w:t xml:space="preserve"> of </w:t>
          </w:r>
          <w:r w:rsidRPr="00197D59">
            <w:rPr>
              <w:rFonts w:ascii="Arial" w:hAnsi="Arial" w:cs="Arial"/>
              <w:b/>
              <w:bCs/>
              <w:sz w:val="20"/>
            </w:rPr>
            <w:fldChar w:fldCharType="begin"/>
          </w:r>
          <w:r w:rsidRPr="00197D59">
            <w:rPr>
              <w:rFonts w:ascii="Arial" w:hAnsi="Arial" w:cs="Arial"/>
              <w:b/>
              <w:bCs/>
              <w:sz w:val="20"/>
            </w:rPr>
            <w:instrText xml:space="preserve"> NUMPAGES  \* Arabic  \* MERGEFORMAT </w:instrText>
          </w:r>
          <w:r w:rsidRPr="00197D59">
            <w:rPr>
              <w:rFonts w:ascii="Arial" w:hAnsi="Arial" w:cs="Arial"/>
              <w:b/>
              <w:bCs/>
              <w:sz w:val="20"/>
            </w:rPr>
            <w:fldChar w:fldCharType="separate"/>
          </w:r>
          <w:r w:rsidR="00E57F19">
            <w:rPr>
              <w:rFonts w:ascii="Arial" w:hAnsi="Arial" w:cs="Arial"/>
              <w:b/>
              <w:bCs/>
              <w:noProof/>
              <w:sz w:val="20"/>
            </w:rPr>
            <w:t>6</w:t>
          </w:r>
          <w:r w:rsidRPr="00197D59">
            <w:rPr>
              <w:rFonts w:ascii="Arial" w:hAnsi="Arial" w:cs="Arial"/>
              <w:b/>
              <w:bCs/>
              <w:sz w:val="20"/>
            </w:rPr>
            <w:fldChar w:fldCharType="end"/>
          </w:r>
        </w:p>
      </w:tc>
    </w:tr>
  </w:tbl>
  <w:p w:rsidR="00E95D5F" w:rsidRDefault="00E9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B37" w:rsidRDefault="00397B37" w:rsidP="00FC4C1F">
      <w:pPr>
        <w:spacing w:after="0" w:line="240" w:lineRule="auto"/>
      </w:pPr>
      <w:r>
        <w:separator/>
      </w:r>
    </w:p>
  </w:footnote>
  <w:footnote w:type="continuationSeparator" w:id="0">
    <w:p w:rsidR="00397B37" w:rsidRDefault="00397B37" w:rsidP="00FC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98" w:rsidRPr="00E95D5F" w:rsidRDefault="00123098" w:rsidP="00123098">
    <w:pPr>
      <w:pStyle w:val="Header"/>
      <w:tabs>
        <w:tab w:val="left" w:pos="6358"/>
      </w:tabs>
      <w:jc w:val="right"/>
      <w:rPr>
        <w:b/>
        <w:sz w:val="24"/>
      </w:rPr>
    </w:pPr>
    <w:r w:rsidRPr="00E95D5F">
      <w:rPr>
        <w:b/>
        <w:sz w:val="24"/>
      </w:rPr>
      <w:t xml:space="preserve">RUH </w:t>
    </w:r>
    <w:smartTag w:uri="urn:schemas-microsoft-com:office:smarttags" w:element="City">
      <w:smartTag w:uri="urn:schemas-microsoft-com:office:smarttags" w:element="place">
        <w:r w:rsidRPr="00E95D5F">
          <w:rPr>
            <w:b/>
            <w:sz w:val="24"/>
          </w:rPr>
          <w:t>Bath</w:t>
        </w:r>
      </w:smartTag>
    </w:smartTag>
    <w:r w:rsidRPr="00E95D5F">
      <w:rPr>
        <w:b/>
        <w:sz w:val="24"/>
      </w:rPr>
      <w:t xml:space="preserve"> NHS Foundation Trust – Pathology Department</w:t>
    </w:r>
  </w:p>
  <w:p w:rsidR="00123098" w:rsidRPr="00E95D5F" w:rsidRDefault="00EE0E3C" w:rsidP="00123098">
    <w:pPr>
      <w:pStyle w:val="Header"/>
      <w:rPr>
        <w:rFonts w:ascii="Arial" w:hAnsi="Arial" w:cs="Arial"/>
      </w:rPr>
    </w:pPr>
    <w:r w:rsidRPr="00E95D5F">
      <w:rPr>
        <w:rFonts w:ascii="Arial" w:hAnsi="Arial" w:cs="Arial"/>
        <w:b/>
      </w:rPr>
      <w:t>Document Reference:</w:t>
    </w:r>
    <w:r w:rsidRPr="00E95D5F">
      <w:rPr>
        <w:rFonts w:ascii="Arial" w:hAnsi="Arial" w:cs="Arial"/>
      </w:rPr>
      <w:t xml:space="preserve"> </w:t>
    </w:r>
    <w:r w:rsidR="00E95D5F" w:rsidRPr="004A37DE">
      <w:rPr>
        <w:rFonts w:ascii="Arial" w:hAnsi="Arial" w:cs="Arial"/>
      </w:rPr>
      <w:t>RA/</w:t>
    </w:r>
    <w:r w:rsidR="007538B0">
      <w:rPr>
        <w:rFonts w:ascii="Arial" w:hAnsi="Arial" w:cs="Arial"/>
      </w:rPr>
      <w:t>CH/29</w:t>
    </w:r>
  </w:p>
  <w:p w:rsidR="00123098" w:rsidRPr="00E95D5F" w:rsidRDefault="00123098" w:rsidP="00123098">
    <w:pPr>
      <w:pStyle w:val="Header"/>
      <w:rPr>
        <w:sz w:val="14"/>
        <w:szCs w:val="16"/>
      </w:rPr>
    </w:pPr>
  </w:p>
  <w:tbl>
    <w:tblPr>
      <w:tblStyle w:val="TableGrid"/>
      <w:tblW w:w="14769"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31"/>
      <w:gridCol w:w="5838"/>
    </w:tblGrid>
    <w:tr w:rsidR="00123098" w:rsidRPr="00E95D5F" w:rsidTr="00B77551">
      <w:tc>
        <w:tcPr>
          <w:tcW w:w="8931" w:type="dxa"/>
        </w:tcPr>
        <w:p w:rsidR="00123098" w:rsidRPr="00E95D5F" w:rsidRDefault="00E95D5F" w:rsidP="00B77551">
          <w:pPr>
            <w:pStyle w:val="Header"/>
            <w:ind w:left="-110"/>
            <w:rPr>
              <w:rFonts w:ascii="Arial" w:hAnsi="Arial" w:cs="Arial"/>
              <w:sz w:val="20"/>
            </w:rPr>
          </w:pPr>
          <w:r w:rsidRPr="00E95D5F">
            <w:rPr>
              <w:rFonts w:ascii="Arial" w:hAnsi="Arial" w:cs="Arial"/>
              <w:b/>
              <w:szCs w:val="28"/>
            </w:rPr>
            <w:t>Title:</w:t>
          </w:r>
          <w:r w:rsidRPr="00E95D5F">
            <w:rPr>
              <w:rFonts w:ascii="Arial" w:hAnsi="Arial" w:cs="Arial"/>
              <w:szCs w:val="28"/>
            </w:rPr>
            <w:t xml:space="preserve"> </w:t>
          </w:r>
          <w:r w:rsidRPr="00BE1BDA">
            <w:rPr>
              <w:rFonts w:ascii="Arial" w:hAnsi="Arial" w:cs="Arial"/>
              <w:szCs w:val="28"/>
            </w:rPr>
            <w:t xml:space="preserve">Risk Assessment Form for </w:t>
          </w:r>
          <w:r w:rsidR="007624D4">
            <w:rPr>
              <w:rFonts w:ascii="Arial" w:hAnsi="Arial" w:cs="Arial"/>
              <w:sz w:val="20"/>
              <w:szCs w:val="20"/>
            </w:rPr>
            <w:t xml:space="preserve">Use of </w:t>
          </w:r>
          <w:r w:rsidR="00B77551">
            <w:rPr>
              <w:rFonts w:ascii="Arial" w:hAnsi="Arial" w:cs="Arial"/>
              <w:sz w:val="20"/>
              <w:szCs w:val="20"/>
            </w:rPr>
            <w:t>freestyle precision pro glucose and ketone meters</w:t>
          </w:r>
        </w:p>
      </w:tc>
      <w:tc>
        <w:tcPr>
          <w:tcW w:w="5838" w:type="dxa"/>
        </w:tcPr>
        <w:p w:rsidR="00123098" w:rsidRPr="00E95D5F" w:rsidRDefault="00123098" w:rsidP="00123098">
          <w:pPr>
            <w:pStyle w:val="Header"/>
            <w:rPr>
              <w:sz w:val="18"/>
              <w:szCs w:val="20"/>
            </w:rPr>
          </w:pPr>
        </w:p>
      </w:tc>
    </w:tr>
  </w:tbl>
  <w:p w:rsidR="00123098" w:rsidRPr="001521DC" w:rsidRDefault="00123098" w:rsidP="0012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D4001"/>
    <w:multiLevelType w:val="hybridMultilevel"/>
    <w:tmpl w:val="694ACC14"/>
    <w:lvl w:ilvl="0" w:tplc="33DA913E">
      <w:start w:val="1"/>
      <w:numFmt w:val="bullet"/>
      <w:lvlText w:val="•"/>
      <w:lvlJc w:val="left"/>
      <w:pPr>
        <w:tabs>
          <w:tab w:val="num" w:pos="1440"/>
        </w:tabs>
        <w:ind w:left="1440" w:hanging="360"/>
      </w:pPr>
      <w:rPr>
        <w:rFonts w:ascii="Times New Roman" w:hAnsi="Times New Roman" w:hint="default"/>
      </w:rPr>
    </w:lvl>
    <w:lvl w:ilvl="1" w:tplc="96E0B314" w:tentative="1">
      <w:start w:val="1"/>
      <w:numFmt w:val="bullet"/>
      <w:lvlText w:val="•"/>
      <w:lvlJc w:val="left"/>
      <w:pPr>
        <w:tabs>
          <w:tab w:val="num" w:pos="2160"/>
        </w:tabs>
        <w:ind w:left="2160" w:hanging="360"/>
      </w:pPr>
      <w:rPr>
        <w:rFonts w:ascii="Times New Roman" w:hAnsi="Times New Roman" w:hint="default"/>
      </w:rPr>
    </w:lvl>
    <w:lvl w:ilvl="2" w:tplc="78D883F4" w:tentative="1">
      <w:start w:val="1"/>
      <w:numFmt w:val="bullet"/>
      <w:lvlText w:val="•"/>
      <w:lvlJc w:val="left"/>
      <w:pPr>
        <w:tabs>
          <w:tab w:val="num" w:pos="2880"/>
        </w:tabs>
        <w:ind w:left="2880" w:hanging="360"/>
      </w:pPr>
      <w:rPr>
        <w:rFonts w:ascii="Times New Roman" w:hAnsi="Times New Roman" w:hint="default"/>
      </w:rPr>
    </w:lvl>
    <w:lvl w:ilvl="3" w:tplc="94C6DEF8" w:tentative="1">
      <w:start w:val="1"/>
      <w:numFmt w:val="bullet"/>
      <w:lvlText w:val="•"/>
      <w:lvlJc w:val="left"/>
      <w:pPr>
        <w:tabs>
          <w:tab w:val="num" w:pos="3600"/>
        </w:tabs>
        <w:ind w:left="3600" w:hanging="360"/>
      </w:pPr>
      <w:rPr>
        <w:rFonts w:ascii="Times New Roman" w:hAnsi="Times New Roman" w:hint="default"/>
      </w:rPr>
    </w:lvl>
    <w:lvl w:ilvl="4" w:tplc="60064256" w:tentative="1">
      <w:start w:val="1"/>
      <w:numFmt w:val="bullet"/>
      <w:lvlText w:val="•"/>
      <w:lvlJc w:val="left"/>
      <w:pPr>
        <w:tabs>
          <w:tab w:val="num" w:pos="4320"/>
        </w:tabs>
        <w:ind w:left="4320" w:hanging="360"/>
      </w:pPr>
      <w:rPr>
        <w:rFonts w:ascii="Times New Roman" w:hAnsi="Times New Roman" w:hint="default"/>
      </w:rPr>
    </w:lvl>
    <w:lvl w:ilvl="5" w:tplc="635C34E0" w:tentative="1">
      <w:start w:val="1"/>
      <w:numFmt w:val="bullet"/>
      <w:lvlText w:val="•"/>
      <w:lvlJc w:val="left"/>
      <w:pPr>
        <w:tabs>
          <w:tab w:val="num" w:pos="5040"/>
        </w:tabs>
        <w:ind w:left="5040" w:hanging="360"/>
      </w:pPr>
      <w:rPr>
        <w:rFonts w:ascii="Times New Roman" w:hAnsi="Times New Roman" w:hint="default"/>
      </w:rPr>
    </w:lvl>
    <w:lvl w:ilvl="6" w:tplc="06DC66A6" w:tentative="1">
      <w:start w:val="1"/>
      <w:numFmt w:val="bullet"/>
      <w:lvlText w:val="•"/>
      <w:lvlJc w:val="left"/>
      <w:pPr>
        <w:tabs>
          <w:tab w:val="num" w:pos="5760"/>
        </w:tabs>
        <w:ind w:left="5760" w:hanging="360"/>
      </w:pPr>
      <w:rPr>
        <w:rFonts w:ascii="Times New Roman" w:hAnsi="Times New Roman" w:hint="default"/>
      </w:rPr>
    </w:lvl>
    <w:lvl w:ilvl="7" w:tplc="605E4BBA" w:tentative="1">
      <w:start w:val="1"/>
      <w:numFmt w:val="bullet"/>
      <w:lvlText w:val="•"/>
      <w:lvlJc w:val="left"/>
      <w:pPr>
        <w:tabs>
          <w:tab w:val="num" w:pos="6480"/>
        </w:tabs>
        <w:ind w:left="6480" w:hanging="360"/>
      </w:pPr>
      <w:rPr>
        <w:rFonts w:ascii="Times New Roman" w:hAnsi="Times New Roman" w:hint="default"/>
      </w:rPr>
    </w:lvl>
    <w:lvl w:ilvl="8" w:tplc="A296DD0E" w:tentative="1">
      <w:start w:val="1"/>
      <w:numFmt w:val="bullet"/>
      <w:lvlText w:val="•"/>
      <w:lvlJc w:val="left"/>
      <w:pPr>
        <w:tabs>
          <w:tab w:val="num" w:pos="7200"/>
        </w:tabs>
        <w:ind w:left="7200" w:hanging="360"/>
      </w:pPr>
      <w:rPr>
        <w:rFonts w:ascii="Times New Roman" w:hAnsi="Times New Roman" w:hint="default"/>
      </w:rPr>
    </w:lvl>
  </w:abstractNum>
  <w:abstractNum w:abstractNumId="1" w15:restartNumberingAfterBreak="0">
    <w:nsid w:val="38F12810"/>
    <w:multiLevelType w:val="hybridMultilevel"/>
    <w:tmpl w:val="8D383420"/>
    <w:lvl w:ilvl="0" w:tplc="ABBA8CD6">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C573E45"/>
    <w:multiLevelType w:val="hybridMultilevel"/>
    <w:tmpl w:val="1DC20C60"/>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620"/>
    <w:rsid w:val="00024DA9"/>
    <w:rsid w:val="000E6548"/>
    <w:rsid w:val="00101337"/>
    <w:rsid w:val="00123098"/>
    <w:rsid w:val="00176E7E"/>
    <w:rsid w:val="00182367"/>
    <w:rsid w:val="00197D59"/>
    <w:rsid w:val="002102E1"/>
    <w:rsid w:val="00283DF1"/>
    <w:rsid w:val="00293847"/>
    <w:rsid w:val="002E2A28"/>
    <w:rsid w:val="003218CA"/>
    <w:rsid w:val="00326A78"/>
    <w:rsid w:val="003320FB"/>
    <w:rsid w:val="0036344A"/>
    <w:rsid w:val="00397B37"/>
    <w:rsid w:val="003D5E2F"/>
    <w:rsid w:val="004A37DE"/>
    <w:rsid w:val="004E0EE7"/>
    <w:rsid w:val="00621789"/>
    <w:rsid w:val="00621E65"/>
    <w:rsid w:val="00625AEB"/>
    <w:rsid w:val="006312FE"/>
    <w:rsid w:val="00692653"/>
    <w:rsid w:val="006C6769"/>
    <w:rsid w:val="006C7014"/>
    <w:rsid w:val="006E4BEF"/>
    <w:rsid w:val="006F6F95"/>
    <w:rsid w:val="007538B0"/>
    <w:rsid w:val="00753E7F"/>
    <w:rsid w:val="007624D4"/>
    <w:rsid w:val="007B4AE5"/>
    <w:rsid w:val="007D2848"/>
    <w:rsid w:val="00801F96"/>
    <w:rsid w:val="008C769C"/>
    <w:rsid w:val="009918A3"/>
    <w:rsid w:val="00A83620"/>
    <w:rsid w:val="00B13718"/>
    <w:rsid w:val="00B77551"/>
    <w:rsid w:val="00BE1BDA"/>
    <w:rsid w:val="00CA1236"/>
    <w:rsid w:val="00CB12D1"/>
    <w:rsid w:val="00CD3CBE"/>
    <w:rsid w:val="00DD0D63"/>
    <w:rsid w:val="00DD6BE9"/>
    <w:rsid w:val="00E15821"/>
    <w:rsid w:val="00E57F19"/>
    <w:rsid w:val="00E71A3D"/>
    <w:rsid w:val="00E75298"/>
    <w:rsid w:val="00E95D5F"/>
    <w:rsid w:val="00ED60E1"/>
    <w:rsid w:val="00EE0E3C"/>
    <w:rsid w:val="00EE423E"/>
    <w:rsid w:val="00F742A6"/>
    <w:rsid w:val="00F82DB9"/>
    <w:rsid w:val="00F84F96"/>
    <w:rsid w:val="00FC4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5:docId w15:val="{53B31C52-97EE-4495-A2AA-10F3A7DB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C1F"/>
  </w:style>
  <w:style w:type="paragraph" w:styleId="Footer">
    <w:name w:val="footer"/>
    <w:basedOn w:val="Normal"/>
    <w:link w:val="FooterChar"/>
    <w:uiPriority w:val="99"/>
    <w:unhideWhenUsed/>
    <w:rsid w:val="00FC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C1F"/>
  </w:style>
  <w:style w:type="paragraph" w:styleId="BalloonText">
    <w:name w:val="Balloon Text"/>
    <w:basedOn w:val="Normal"/>
    <w:link w:val="BalloonTextChar"/>
    <w:uiPriority w:val="99"/>
    <w:semiHidden/>
    <w:unhideWhenUsed/>
    <w:rsid w:val="00FC4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C1F"/>
    <w:rPr>
      <w:rFonts w:ascii="Tahoma" w:hAnsi="Tahoma" w:cs="Tahoma"/>
      <w:sz w:val="16"/>
      <w:szCs w:val="16"/>
    </w:rPr>
  </w:style>
  <w:style w:type="paragraph" w:styleId="ListParagraph">
    <w:name w:val="List Paragraph"/>
    <w:basedOn w:val="Normal"/>
    <w:uiPriority w:val="34"/>
    <w:qFormat/>
    <w:rsid w:val="00283DF1"/>
    <w:pPr>
      <w:ind w:left="720"/>
      <w:contextualSpacing/>
    </w:pPr>
  </w:style>
  <w:style w:type="paragraph" w:styleId="BodyText">
    <w:name w:val="Body Text"/>
    <w:basedOn w:val="Normal"/>
    <w:link w:val="BodyTextChar"/>
    <w:rsid w:val="00283DF1"/>
    <w:pPr>
      <w:spacing w:after="0" w:line="240" w:lineRule="auto"/>
    </w:pPr>
    <w:rPr>
      <w:rFonts w:ascii="Arial" w:eastAsia="Times New Roman" w:hAnsi="Arial" w:cs="Times New Roman"/>
      <w:b/>
      <w:bCs/>
      <w:sz w:val="20"/>
      <w:szCs w:val="20"/>
    </w:rPr>
  </w:style>
  <w:style w:type="character" w:customStyle="1" w:styleId="BodyTextChar">
    <w:name w:val="Body Text Char"/>
    <w:basedOn w:val="DefaultParagraphFont"/>
    <w:link w:val="BodyText"/>
    <w:rsid w:val="00283DF1"/>
    <w:rPr>
      <w:rFonts w:ascii="Arial" w:eastAsia="Times New Roman" w:hAnsi="Arial" w:cs="Times New Roman"/>
      <w:b/>
      <w:bCs/>
      <w:sz w:val="20"/>
      <w:szCs w:val="20"/>
    </w:rPr>
  </w:style>
  <w:style w:type="table" w:customStyle="1" w:styleId="TableGrid1">
    <w:name w:val="Table Grid1"/>
    <w:basedOn w:val="TableNormal"/>
    <w:next w:val="TableGrid"/>
    <w:uiPriority w:val="59"/>
    <w:rsid w:val="007624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9350">
      <w:bodyDiv w:val="1"/>
      <w:marLeft w:val="0"/>
      <w:marRight w:val="0"/>
      <w:marTop w:val="0"/>
      <w:marBottom w:val="0"/>
      <w:divBdr>
        <w:top w:val="none" w:sz="0" w:space="0" w:color="auto"/>
        <w:left w:val="none" w:sz="0" w:space="0" w:color="auto"/>
        <w:bottom w:val="none" w:sz="0" w:space="0" w:color="auto"/>
        <w:right w:val="none" w:sz="0" w:space="0" w:color="auto"/>
      </w:divBdr>
    </w:div>
    <w:div w:id="7306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CA410-26D4-4171-95BB-E85985B0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Royal United Hospitals Bath Foundation Trust</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Ware, Susan</cp:lastModifiedBy>
  <cp:revision>2</cp:revision>
  <dcterms:created xsi:type="dcterms:W3CDTF">2021-11-05T13:35:00Z</dcterms:created>
  <dcterms:modified xsi:type="dcterms:W3CDTF">2021-11-05T13:35:00Z</dcterms:modified>
</cp:coreProperties>
</file>