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E7" w:rsidRDefault="003F49E7" w:rsidP="005F3F71">
      <w:pPr>
        <w:ind w:firstLine="720"/>
        <w:jc w:val="center"/>
        <w:rPr>
          <w:rFonts w:cs="Arial"/>
          <w:b/>
        </w:rPr>
      </w:pPr>
    </w:p>
    <w:p w:rsidR="005B478D" w:rsidRPr="005B478D" w:rsidRDefault="005B478D" w:rsidP="005F3F71">
      <w:pPr>
        <w:ind w:firstLine="720"/>
        <w:jc w:val="center"/>
        <w:rPr>
          <w:rFonts w:cs="Arial"/>
          <w:b/>
        </w:rPr>
      </w:pPr>
      <w:r w:rsidRPr="005B478D">
        <w:rPr>
          <w:rFonts w:cs="Arial"/>
          <w:b/>
        </w:rPr>
        <w:t>Urinalysis – the interpretation of reagent strips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Reagent strips (‘dipsticks’) can be used to detect a number of substances in urine. The Medi-Test Combi 8 dipsticks include</w:t>
      </w:r>
      <w:r w:rsidR="008E4DE2">
        <w:rPr>
          <w:rFonts w:cs="Arial"/>
          <w:sz w:val="20"/>
          <w:szCs w:val="20"/>
        </w:rPr>
        <w:t>:</w:t>
      </w:r>
      <w:r w:rsidRPr="005B478D">
        <w:rPr>
          <w:rFonts w:cs="Arial"/>
          <w:sz w:val="20"/>
          <w:szCs w:val="20"/>
        </w:rPr>
        <w:t xml:space="preserve"> </w:t>
      </w:r>
      <w:r w:rsidR="008E4DE2">
        <w:rPr>
          <w:rFonts w:cs="Arial"/>
          <w:sz w:val="20"/>
          <w:szCs w:val="20"/>
        </w:rPr>
        <w:t>nitrite, l</w:t>
      </w:r>
      <w:r w:rsidRPr="005B478D">
        <w:rPr>
          <w:rFonts w:cs="Arial"/>
          <w:sz w:val="20"/>
          <w:szCs w:val="20"/>
        </w:rPr>
        <w:t>eucocyte, glucose, protein, pH, ketones, and blood.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Important points to note</w:t>
      </w:r>
    </w:p>
    <w:p w:rsidR="005B478D" w:rsidRPr="005B478D" w:rsidRDefault="005B478D" w:rsidP="005B478D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cs="Arial"/>
          <w:b/>
          <w:sz w:val="20"/>
          <w:szCs w:val="20"/>
        </w:rPr>
      </w:pPr>
      <w:r w:rsidRPr="005B478D">
        <w:rPr>
          <w:rFonts w:cs="Arial"/>
          <w:sz w:val="20"/>
          <w:szCs w:val="20"/>
        </w:rPr>
        <w:t>Urine dipstick analysis is NOT diagnostic, but can be a useful screening tool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tabs>
          <w:tab w:val="num" w:pos="540"/>
        </w:tabs>
        <w:rPr>
          <w:rFonts w:cs="Arial"/>
          <w:b/>
          <w:sz w:val="20"/>
          <w:szCs w:val="20"/>
        </w:rPr>
      </w:pPr>
    </w:p>
    <w:p w:rsidR="005B478D" w:rsidRPr="005B478D" w:rsidRDefault="005B478D" w:rsidP="005B478D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cs="Arial"/>
          <w:b/>
          <w:sz w:val="20"/>
          <w:szCs w:val="20"/>
        </w:rPr>
      </w:pPr>
      <w:r w:rsidRPr="005B478D">
        <w:rPr>
          <w:rFonts w:cs="Arial"/>
          <w:sz w:val="20"/>
          <w:szCs w:val="20"/>
        </w:rPr>
        <w:t>The tests may be subject to both positive and negative interferences. Some (but not all) of these are listed below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tabs>
          <w:tab w:val="num" w:pos="540"/>
        </w:tabs>
        <w:ind w:left="540" w:hanging="540"/>
        <w:rPr>
          <w:rFonts w:cs="Arial"/>
          <w:b/>
          <w:sz w:val="20"/>
          <w:szCs w:val="20"/>
        </w:rPr>
      </w:pPr>
    </w:p>
    <w:p w:rsidR="005B478D" w:rsidRDefault="005B478D" w:rsidP="005B478D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Laboratory blood/urine tests, as appropriate, should be used to confirm results</w:t>
      </w:r>
      <w:r w:rsidRPr="005B478D">
        <w:rPr>
          <w:rFonts w:cs="Arial"/>
          <w:b/>
          <w:sz w:val="20"/>
          <w:szCs w:val="20"/>
        </w:rPr>
        <w:t xml:space="preserve"> </w:t>
      </w:r>
      <w:r w:rsidRPr="005B478D">
        <w:rPr>
          <w:rFonts w:cs="Arial"/>
          <w:sz w:val="20"/>
          <w:szCs w:val="20"/>
        </w:rPr>
        <w:t>(as indicated below).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8E4DE2" w:rsidRPr="005B478D" w:rsidRDefault="008E4DE2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Glucose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Detects urine glucose &gt;200 mg/L (= 1.1 mmol/L)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The test is not diagnostic for diabetes mellitus and should not be used for this purpose. A negative result does NOT exclude DM. A fasting blood glucose should be measured for diagnosing DM (refer to WHO guidelines).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D04926" w:rsidRPr="00D04926" w:rsidRDefault="00294ADC" w:rsidP="00D04926">
      <w:pPr>
        <w:jc w:val="both"/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</w:rPr>
        <w:t>False positive</w:t>
      </w:r>
      <w:r w:rsidR="005B478D" w:rsidRPr="00D04926">
        <w:rPr>
          <w:rFonts w:cs="Arial"/>
          <w:i/>
          <w:sz w:val="20"/>
          <w:szCs w:val="20"/>
        </w:rPr>
        <w:t>:</w:t>
      </w:r>
      <w:r w:rsidR="005B478D" w:rsidRPr="00D04926">
        <w:rPr>
          <w:rFonts w:cs="Arial"/>
          <w:sz w:val="20"/>
          <w:szCs w:val="20"/>
        </w:rPr>
        <w:t xml:space="preserve"> </w:t>
      </w:r>
      <w:r w:rsidR="00D04926" w:rsidRPr="00D04926">
        <w:rPr>
          <w:rFonts w:cs="Arial"/>
          <w:sz w:val="20"/>
          <w:szCs w:val="20"/>
        </w:rPr>
        <w:t>may occur if the sample is contaminated with residues of peroxide</w:t>
      </w:r>
      <w:r w:rsidR="00D04926">
        <w:rPr>
          <w:rFonts w:cs="Arial"/>
          <w:sz w:val="20"/>
          <w:szCs w:val="20"/>
        </w:rPr>
        <w:t>-</w:t>
      </w:r>
      <w:r w:rsidR="00D04926" w:rsidRPr="00D04926">
        <w:rPr>
          <w:rFonts w:cs="Arial"/>
          <w:sz w:val="20"/>
          <w:szCs w:val="20"/>
        </w:rPr>
        <w:t>containing detergents. This test is not affected by the presence of ascorbic acid (vitamin C).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Protein</w:t>
      </w:r>
    </w:p>
    <w:p w:rsidR="005B478D" w:rsidRPr="005B478D" w:rsidRDefault="00D44F3E" w:rsidP="005B478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Detects urine protein &gt;0.3 </w:t>
      </w:r>
      <w:r w:rsidR="005B478D" w:rsidRPr="005B478D">
        <w:rPr>
          <w:rFonts w:cs="Arial"/>
          <w:sz w:val="20"/>
          <w:szCs w:val="20"/>
        </w:rPr>
        <w:t>g/L</w:t>
      </w:r>
      <w:r>
        <w:rPr>
          <w:rFonts w:cs="Arial"/>
          <w:sz w:val="20"/>
          <w:szCs w:val="20"/>
        </w:rPr>
        <w:t xml:space="preserve"> (300 mg/L)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A positive result should always be investigated further by sending a random urine sample to the laboratory for prot:creat ratio or a timed collection (e.g. 24 hour sample).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Benign proteinuria can occur, e.g. orthostatic proteinuria, but this can only be confirmed/excluded by further investigation and assessment of the clinical status of the patient.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i/>
          <w:sz w:val="20"/>
          <w:szCs w:val="20"/>
        </w:rPr>
        <w:t>False negative:</w:t>
      </w:r>
      <w:r w:rsidRPr="005B478D">
        <w:rPr>
          <w:rFonts w:cs="Arial"/>
          <w:sz w:val="20"/>
          <w:szCs w:val="20"/>
        </w:rPr>
        <w:t xml:space="preserve"> a negative dipstick does NOT exclude proteinuria. Some proteins do not react with the dipstick (e.g. immunoglobulin light chains or Bence Jones protein). 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95216F" w:rsidRDefault="005B478D" w:rsidP="0095216F">
      <w:pPr>
        <w:rPr>
          <w:rFonts w:cs="Arial"/>
          <w:sz w:val="20"/>
          <w:szCs w:val="20"/>
        </w:rPr>
      </w:pPr>
      <w:r w:rsidRPr="005B478D">
        <w:rPr>
          <w:rFonts w:cs="Arial"/>
          <w:i/>
          <w:sz w:val="20"/>
          <w:szCs w:val="20"/>
        </w:rPr>
        <w:t>False positive:</w:t>
      </w:r>
      <w:r w:rsidRPr="005B478D">
        <w:rPr>
          <w:rFonts w:cs="Arial"/>
          <w:sz w:val="20"/>
          <w:szCs w:val="20"/>
        </w:rPr>
        <w:t xml:space="preserve"> </w:t>
      </w:r>
      <w:r w:rsidR="0095216F" w:rsidRPr="005B478D">
        <w:rPr>
          <w:rFonts w:cs="Arial"/>
          <w:sz w:val="20"/>
          <w:szCs w:val="20"/>
        </w:rPr>
        <w:t>may occur if the pH of the urine is very high (i.e. very alkaline samples, pH &gt;9.0)</w:t>
      </w:r>
      <w:r w:rsidR="0095216F">
        <w:rPr>
          <w:rFonts w:cs="Arial"/>
          <w:sz w:val="20"/>
          <w:szCs w:val="20"/>
        </w:rPr>
        <w:t>, in</w:t>
      </w:r>
      <w:r w:rsidR="0095216F" w:rsidRPr="00E91E06">
        <w:rPr>
          <w:rFonts w:cs="Arial"/>
          <w:sz w:val="20"/>
          <w:szCs w:val="20"/>
        </w:rPr>
        <w:t xml:space="preserve"> patients on polyvinylpyrrolidone (blood substitute)</w:t>
      </w:r>
      <w:r w:rsidR="0095216F">
        <w:rPr>
          <w:rFonts w:cs="Arial"/>
          <w:sz w:val="20"/>
          <w:szCs w:val="20"/>
        </w:rPr>
        <w:t xml:space="preserve"> infusion</w:t>
      </w:r>
      <w:r w:rsidR="0095216F" w:rsidRPr="00E91E06">
        <w:rPr>
          <w:rFonts w:cs="Arial"/>
          <w:sz w:val="20"/>
          <w:szCs w:val="20"/>
        </w:rPr>
        <w:t xml:space="preserve"> and</w:t>
      </w:r>
      <w:r w:rsidR="0095216F">
        <w:rPr>
          <w:rFonts w:cs="Arial"/>
          <w:sz w:val="20"/>
          <w:szCs w:val="20"/>
        </w:rPr>
        <w:t xml:space="preserve"> in</w:t>
      </w:r>
      <w:r w:rsidR="0095216F" w:rsidRPr="00E91E06">
        <w:rPr>
          <w:rFonts w:cs="Arial"/>
          <w:sz w:val="20"/>
          <w:szCs w:val="20"/>
        </w:rPr>
        <w:t xml:space="preserve"> patients on quinine medications. False positives may also be caused by sample contamination with residues of disinfectant. </w:t>
      </w:r>
    </w:p>
    <w:p w:rsidR="0095216F" w:rsidRDefault="0095216F" w:rsidP="0095216F">
      <w:pPr>
        <w:rPr>
          <w:rFonts w:cs="Arial"/>
          <w:sz w:val="20"/>
          <w:szCs w:val="20"/>
        </w:rPr>
      </w:pPr>
    </w:p>
    <w:p w:rsidR="0095216F" w:rsidRPr="003F66CD" w:rsidRDefault="0095216F" w:rsidP="0095216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NB: The</w:t>
      </w:r>
      <w:r w:rsidRPr="00E91E06">
        <w:rPr>
          <w:rFonts w:cs="Arial"/>
          <w:sz w:val="20"/>
          <w:szCs w:val="20"/>
        </w:rPr>
        <w:t xml:space="preserve"> presence of medical dyes (e.g. methylene blue) or beetroot pigments</w:t>
      </w:r>
      <w:r>
        <w:rPr>
          <w:rFonts w:cs="Arial"/>
          <w:sz w:val="20"/>
          <w:szCs w:val="20"/>
        </w:rPr>
        <w:t xml:space="preserve"> in the sample may mask the colour of the reaction pad</w:t>
      </w:r>
      <w:r w:rsidRPr="00E91E06">
        <w:rPr>
          <w:rFonts w:cs="Arial"/>
          <w:sz w:val="20"/>
          <w:szCs w:val="20"/>
        </w:rPr>
        <w:t xml:space="preserve">. </w:t>
      </w:r>
    </w:p>
    <w:p w:rsidR="008E4DE2" w:rsidRDefault="008E4DE2" w:rsidP="005B478D">
      <w:pPr>
        <w:rPr>
          <w:rFonts w:cs="Arial"/>
          <w:b/>
          <w:sz w:val="20"/>
          <w:szCs w:val="20"/>
        </w:rPr>
      </w:pPr>
    </w:p>
    <w:p w:rsidR="003F49E7" w:rsidRDefault="003F49E7" w:rsidP="005B478D">
      <w:pPr>
        <w:rPr>
          <w:rFonts w:cs="Arial"/>
          <w:b/>
          <w:sz w:val="20"/>
          <w:szCs w:val="20"/>
        </w:rPr>
      </w:pP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pH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Detects how acidic or alkaline the urine is. Usual pH value is 5-6 on a freshly passed sample.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A very alkaline urine (pH &gt;9.0) may be associated with a urinary tract infection. However, a high pH value may also indicate that the sample is old or has not been stored properly and is</w:t>
      </w:r>
      <w:r w:rsidR="008E4DE2">
        <w:rPr>
          <w:rFonts w:cs="Arial"/>
          <w:sz w:val="20"/>
          <w:szCs w:val="20"/>
        </w:rPr>
        <w:t>,</w:t>
      </w:r>
      <w:r w:rsidRPr="005B478D">
        <w:rPr>
          <w:rFonts w:cs="Arial"/>
          <w:sz w:val="20"/>
          <w:szCs w:val="20"/>
        </w:rPr>
        <w:t xml:space="preserve"> therefore</w:t>
      </w:r>
      <w:r w:rsidR="008E4DE2">
        <w:rPr>
          <w:rFonts w:cs="Arial"/>
          <w:sz w:val="20"/>
          <w:szCs w:val="20"/>
        </w:rPr>
        <w:t>,</w:t>
      </w:r>
      <w:r w:rsidRPr="005B478D">
        <w:rPr>
          <w:rFonts w:cs="Arial"/>
          <w:sz w:val="20"/>
          <w:szCs w:val="20"/>
        </w:rPr>
        <w:t xml:space="preserve"> unsuitable for other tests on the dipstick. Some tests on the dipstick strip may give false results if the pH of the urine is too high (e.g. protein).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3F49E7" w:rsidRPr="005B478D" w:rsidRDefault="003F49E7" w:rsidP="005B478D">
      <w:pPr>
        <w:rPr>
          <w:rFonts w:cs="Arial"/>
          <w:sz w:val="20"/>
          <w:szCs w:val="20"/>
        </w:rPr>
      </w:pPr>
    </w:p>
    <w:p w:rsidR="003F49E7" w:rsidRDefault="003F49E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lastRenderedPageBreak/>
        <w:t>Ketones</w:t>
      </w:r>
    </w:p>
    <w:p w:rsidR="00294ADC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Detects urine ketones &gt;</w:t>
      </w:r>
      <w:r w:rsidR="00D44F3E">
        <w:rPr>
          <w:rFonts w:cs="Arial"/>
          <w:sz w:val="20"/>
          <w:szCs w:val="20"/>
        </w:rPr>
        <w:t>2.5 mmol/L</w:t>
      </w:r>
      <w:r w:rsidR="008E4DE2">
        <w:rPr>
          <w:rFonts w:cs="Arial"/>
          <w:sz w:val="20"/>
          <w:szCs w:val="20"/>
        </w:rPr>
        <w:t>.</w:t>
      </w:r>
      <w:r w:rsidR="00294ADC">
        <w:rPr>
          <w:rFonts w:cs="Arial"/>
          <w:sz w:val="20"/>
          <w:szCs w:val="20"/>
        </w:rPr>
        <w:t xml:space="preserve"> The test is more sensitive to acetoacetate than it is to acetone. </w:t>
      </w:r>
    </w:p>
    <w:p w:rsidR="005B478D" w:rsidRPr="005B478D" w:rsidRDefault="00294ADC" w:rsidP="005B478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It does NOT detect beta-hydroxybutyrate.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Useful in rapid assessment of possible diabetic ketoacidosis – a positive result gives strong evidence that the patient has DKA. However, the test is NOT diagnostic and a laboratory blood glucose must be urgently performed as well.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NB The dipstick does not detect beta-hydroxybutyrate.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3F49E7" w:rsidRPr="005B478D" w:rsidRDefault="003F49E7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Blood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Detects haemoglobin or erythrocy</w:t>
      </w:r>
      <w:r w:rsidR="008E4DE2">
        <w:rPr>
          <w:rFonts w:cs="Arial"/>
          <w:sz w:val="20"/>
          <w:szCs w:val="20"/>
        </w:rPr>
        <w:t>tes in urine (&gt; 5 erythrocytes/µ</w:t>
      </w:r>
      <w:r w:rsidRPr="005B478D">
        <w:rPr>
          <w:rFonts w:cs="Arial"/>
          <w:sz w:val="20"/>
          <w:szCs w:val="20"/>
        </w:rPr>
        <w:t>l)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A positive test is not specific for any particular cause of renal dysfunction. A positive test must be followed up with appropriate laboratory investigations (e.g. microscopy, renal function tests, etc.)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712688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i/>
          <w:sz w:val="20"/>
          <w:szCs w:val="20"/>
        </w:rPr>
        <w:t>False negative:</w:t>
      </w:r>
      <w:r w:rsidRPr="005B478D">
        <w:rPr>
          <w:rFonts w:cs="Arial"/>
          <w:sz w:val="20"/>
          <w:szCs w:val="20"/>
        </w:rPr>
        <w:t xml:space="preserve"> </w:t>
      </w:r>
      <w:r w:rsidR="00476E04">
        <w:rPr>
          <w:rFonts w:cs="Arial"/>
          <w:sz w:val="20"/>
          <w:szCs w:val="20"/>
        </w:rPr>
        <w:t>Normal concentrations of ascorbic acid (vitamin C) &lt;40 mg/dL do not interf</w:t>
      </w:r>
      <w:r w:rsidR="00712688">
        <w:rPr>
          <w:rFonts w:cs="Arial"/>
          <w:sz w:val="20"/>
          <w:szCs w:val="20"/>
        </w:rPr>
        <w:t>ere with this test.</w:t>
      </w:r>
    </w:p>
    <w:p w:rsidR="00476E04" w:rsidRPr="005B478D" w:rsidRDefault="00476E04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i/>
          <w:sz w:val="20"/>
          <w:szCs w:val="20"/>
        </w:rPr>
        <w:t>False positive:</w:t>
      </w:r>
      <w:r w:rsidRPr="005B478D">
        <w:rPr>
          <w:rFonts w:cs="Arial"/>
          <w:sz w:val="20"/>
          <w:szCs w:val="20"/>
        </w:rPr>
        <w:t xml:space="preserve"> may occur as a result of contamination of the sample with menstrual blood flow or external injury to the urethral tract.</w:t>
      </w:r>
      <w:r w:rsidR="00476E04">
        <w:rPr>
          <w:rFonts w:cs="Arial"/>
          <w:sz w:val="20"/>
          <w:szCs w:val="20"/>
        </w:rPr>
        <w:t xml:space="preserve"> Sample contamination with peroxide-containing detergents can also cause false positives. 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3F49E7" w:rsidRPr="005B478D" w:rsidRDefault="003F49E7" w:rsidP="005B478D">
      <w:pPr>
        <w:rPr>
          <w:rFonts w:cs="Arial"/>
          <w:sz w:val="20"/>
          <w:szCs w:val="20"/>
        </w:rPr>
      </w:pPr>
    </w:p>
    <w:p w:rsidR="005B478D" w:rsidRPr="00D04926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Nitrites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Detects urine nitrites &gt; 0.5 mg/L</w:t>
      </w:r>
      <w:r w:rsidR="00D44F3E">
        <w:rPr>
          <w:rFonts w:cs="Arial"/>
          <w:sz w:val="20"/>
          <w:szCs w:val="20"/>
        </w:rPr>
        <w:t xml:space="preserve"> </w:t>
      </w:r>
      <w:r w:rsidR="00D44F3E">
        <w:rPr>
          <w:rFonts w:cs="Arial"/>
          <w:sz w:val="20"/>
          <w:szCs w:val="20"/>
        </w:rPr>
        <w:tab/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Any pink colour is consistent with bacterial infection of the urinary tract (microorganisms are able to reduce nitrate to nitrite)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i/>
          <w:sz w:val="20"/>
          <w:szCs w:val="20"/>
        </w:rPr>
        <w:t xml:space="preserve">False negative: </w:t>
      </w:r>
      <w:r w:rsidRPr="005B478D">
        <w:rPr>
          <w:rFonts w:cs="Arial"/>
          <w:sz w:val="20"/>
          <w:szCs w:val="20"/>
        </w:rPr>
        <w:t>may occur with bacteria that do not reduce nitrate to ni</w:t>
      </w:r>
      <w:r w:rsidR="0095216F">
        <w:rPr>
          <w:rFonts w:cs="Arial"/>
          <w:sz w:val="20"/>
          <w:szCs w:val="20"/>
        </w:rPr>
        <w:t>trite, with very dilute urine,</w:t>
      </w:r>
      <w:r w:rsidRPr="005B478D">
        <w:rPr>
          <w:rFonts w:cs="Arial"/>
          <w:sz w:val="20"/>
          <w:szCs w:val="20"/>
        </w:rPr>
        <w:t xml:space="preserve"> high concentrations of ascorbic acid</w:t>
      </w:r>
      <w:r w:rsidR="0095216F">
        <w:rPr>
          <w:rFonts w:cs="Arial"/>
          <w:sz w:val="20"/>
          <w:szCs w:val="20"/>
        </w:rPr>
        <w:t xml:space="preserve"> (vitamin C) or antibiotic therapy.</w:t>
      </w:r>
    </w:p>
    <w:p w:rsidR="0095216F" w:rsidRDefault="0095216F" w:rsidP="005B478D">
      <w:pPr>
        <w:rPr>
          <w:rFonts w:cs="Arial"/>
          <w:sz w:val="20"/>
          <w:szCs w:val="20"/>
        </w:rPr>
      </w:pPr>
    </w:p>
    <w:p w:rsidR="0095216F" w:rsidRPr="005B478D" w:rsidRDefault="0095216F" w:rsidP="005B478D">
      <w:pPr>
        <w:rPr>
          <w:rFonts w:cs="Arial"/>
          <w:sz w:val="20"/>
          <w:szCs w:val="20"/>
        </w:rPr>
      </w:pPr>
      <w:r w:rsidRPr="0095216F">
        <w:rPr>
          <w:rFonts w:cs="Arial"/>
          <w:i/>
          <w:sz w:val="20"/>
          <w:szCs w:val="20"/>
        </w:rPr>
        <w:t>False positive</w:t>
      </w:r>
      <w:r>
        <w:rPr>
          <w:rFonts w:cs="Arial"/>
          <w:sz w:val="20"/>
          <w:szCs w:val="20"/>
        </w:rPr>
        <w:t>: may be caused by presence of medical dyes in the sample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3F49E7" w:rsidRPr="005B478D" w:rsidRDefault="003F49E7" w:rsidP="005B478D">
      <w:pPr>
        <w:rPr>
          <w:rFonts w:cs="Arial"/>
          <w:sz w:val="20"/>
          <w:szCs w:val="20"/>
        </w:rPr>
      </w:pPr>
    </w:p>
    <w:p w:rsidR="005B478D" w:rsidRPr="00D04926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Leucocytes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Detects leucocytes &gt; 10-25 per μl urine</w:t>
      </w:r>
      <w:r w:rsidR="008E4DE2">
        <w:rPr>
          <w:rFonts w:cs="Arial"/>
          <w:sz w:val="20"/>
          <w:szCs w:val="20"/>
        </w:rPr>
        <w:t>.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p w:rsidR="005B478D" w:rsidRPr="005B478D" w:rsidRDefault="005B478D" w:rsidP="005B478D">
      <w:pPr>
        <w:rPr>
          <w:rFonts w:cs="Arial"/>
          <w:sz w:val="20"/>
          <w:szCs w:val="20"/>
        </w:rPr>
      </w:pPr>
      <w:r w:rsidRPr="005B478D">
        <w:rPr>
          <w:rFonts w:cs="Arial"/>
          <w:sz w:val="20"/>
          <w:szCs w:val="20"/>
        </w:rPr>
        <w:t>NB</w:t>
      </w:r>
      <w:r w:rsidR="00D04926">
        <w:rPr>
          <w:rFonts w:cs="Arial"/>
          <w:sz w:val="20"/>
          <w:szCs w:val="20"/>
        </w:rPr>
        <w:t>:</w:t>
      </w:r>
      <w:r w:rsidRPr="005B478D">
        <w:rPr>
          <w:rFonts w:cs="Arial"/>
          <w:sz w:val="20"/>
          <w:szCs w:val="20"/>
        </w:rPr>
        <w:t xml:space="preserve"> bacteria, trichomonads and erythrocytes do not react with this test</w:t>
      </w:r>
    </w:p>
    <w:p w:rsidR="00D04926" w:rsidRPr="00D04926" w:rsidRDefault="00D04926" w:rsidP="00D0492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NB: </w:t>
      </w:r>
      <w:r w:rsidR="00712688">
        <w:rPr>
          <w:rFonts w:cs="Arial"/>
          <w:sz w:val="20"/>
          <w:szCs w:val="20"/>
        </w:rPr>
        <w:t xml:space="preserve">Excretion of bilirubin, </w:t>
      </w:r>
      <w:r w:rsidRPr="00D04926">
        <w:rPr>
          <w:rFonts w:cs="Arial"/>
          <w:sz w:val="20"/>
          <w:szCs w:val="20"/>
        </w:rPr>
        <w:t xml:space="preserve">nitrofurantoin </w:t>
      </w:r>
      <w:r w:rsidR="00712688">
        <w:rPr>
          <w:rFonts w:cs="Arial"/>
          <w:sz w:val="20"/>
          <w:szCs w:val="20"/>
        </w:rPr>
        <w:t xml:space="preserve">or other strongly-coloured compounds </w:t>
      </w:r>
      <w:r w:rsidRPr="00D04926">
        <w:rPr>
          <w:rFonts w:cs="Arial"/>
          <w:sz w:val="20"/>
          <w:szCs w:val="20"/>
        </w:rPr>
        <w:t>may mask the colour of the reaction pad.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D04926" w:rsidRPr="00D04926" w:rsidRDefault="00D04926" w:rsidP="00D04926">
      <w:pPr>
        <w:jc w:val="both"/>
        <w:rPr>
          <w:rFonts w:cs="Arial"/>
          <w:sz w:val="20"/>
          <w:szCs w:val="20"/>
        </w:rPr>
      </w:pPr>
      <w:r w:rsidRPr="00D04926">
        <w:rPr>
          <w:rFonts w:cs="Arial"/>
          <w:i/>
          <w:sz w:val="20"/>
          <w:szCs w:val="20"/>
        </w:rPr>
        <w:t>False negatives</w:t>
      </w:r>
      <w:r>
        <w:rPr>
          <w:rFonts w:cs="Arial"/>
          <w:sz w:val="20"/>
          <w:szCs w:val="20"/>
        </w:rPr>
        <w:t>:</w:t>
      </w:r>
      <w:r w:rsidRPr="00D04926">
        <w:rPr>
          <w:rFonts w:cs="Arial"/>
          <w:sz w:val="20"/>
          <w:szCs w:val="20"/>
        </w:rPr>
        <w:t xml:space="preserve"> may occur in samples with protein &gt;</w:t>
      </w:r>
      <w:r w:rsidR="00847F4B">
        <w:rPr>
          <w:rFonts w:cs="Arial"/>
          <w:sz w:val="20"/>
          <w:szCs w:val="20"/>
        </w:rPr>
        <w:t>5 g/L and glucose &gt;</w:t>
      </w:r>
      <w:r w:rsidRPr="00D04926">
        <w:rPr>
          <w:rFonts w:cs="Arial"/>
          <w:sz w:val="20"/>
          <w:szCs w:val="20"/>
        </w:rPr>
        <w:t>2</w:t>
      </w:r>
      <w:r w:rsidR="00847F4B">
        <w:rPr>
          <w:rFonts w:cs="Arial"/>
          <w:sz w:val="20"/>
          <w:szCs w:val="20"/>
        </w:rPr>
        <w:t>0 g/</w:t>
      </w:r>
      <w:r w:rsidRPr="00D04926">
        <w:rPr>
          <w:rFonts w:cs="Arial"/>
          <w:sz w:val="20"/>
          <w:szCs w:val="20"/>
        </w:rPr>
        <w:t>L</w:t>
      </w:r>
      <w:r w:rsidR="00847F4B">
        <w:rPr>
          <w:rFonts w:cs="Arial"/>
          <w:sz w:val="20"/>
          <w:szCs w:val="20"/>
        </w:rPr>
        <w:t xml:space="preserve"> (111 mmol/L)</w:t>
      </w:r>
      <w:r w:rsidRPr="00D04926">
        <w:rPr>
          <w:rFonts w:cs="Arial"/>
          <w:sz w:val="20"/>
          <w:szCs w:val="20"/>
        </w:rPr>
        <w:t xml:space="preserve"> as well as in patients on cephalexin and gentamicin. </w:t>
      </w:r>
    </w:p>
    <w:p w:rsidR="00D04926" w:rsidRPr="005B478D" w:rsidRDefault="00D04926" w:rsidP="005B478D">
      <w:pPr>
        <w:rPr>
          <w:rFonts w:cs="Arial"/>
          <w:sz w:val="20"/>
          <w:szCs w:val="20"/>
        </w:rPr>
      </w:pPr>
    </w:p>
    <w:p w:rsidR="005B478D" w:rsidRPr="005B478D" w:rsidRDefault="00D04926" w:rsidP="005B478D">
      <w:pPr>
        <w:rPr>
          <w:rFonts w:cs="Arial"/>
          <w:sz w:val="20"/>
          <w:szCs w:val="20"/>
        </w:rPr>
      </w:pPr>
      <w:r>
        <w:rPr>
          <w:rFonts w:cs="Arial"/>
          <w:i/>
          <w:sz w:val="20"/>
          <w:szCs w:val="20"/>
        </w:rPr>
        <w:t>False p</w:t>
      </w:r>
      <w:r w:rsidR="005B478D" w:rsidRPr="005B478D">
        <w:rPr>
          <w:rFonts w:cs="Arial"/>
          <w:i/>
          <w:sz w:val="20"/>
          <w:szCs w:val="20"/>
        </w:rPr>
        <w:t>ositives:</w:t>
      </w:r>
      <w:r w:rsidR="005B478D" w:rsidRPr="005B478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may </w:t>
      </w:r>
      <w:r w:rsidR="005B478D" w:rsidRPr="005B478D">
        <w:rPr>
          <w:rFonts w:cs="Arial"/>
          <w:sz w:val="20"/>
          <w:szCs w:val="20"/>
        </w:rPr>
        <w:t>occur</w:t>
      </w:r>
      <w:r>
        <w:rPr>
          <w:rFonts w:cs="Arial"/>
          <w:sz w:val="20"/>
          <w:szCs w:val="20"/>
        </w:rPr>
        <w:t xml:space="preserve"> if sample is contaminated</w:t>
      </w:r>
      <w:r w:rsidR="005B478D" w:rsidRPr="005B478D">
        <w:rPr>
          <w:rFonts w:cs="Arial"/>
          <w:sz w:val="20"/>
          <w:szCs w:val="20"/>
        </w:rPr>
        <w:t xml:space="preserve"> with formaldehyde. Vaginal discharge may cause a false positive reaction.</w:t>
      </w:r>
    </w:p>
    <w:p w:rsidR="005B478D" w:rsidRDefault="005B478D" w:rsidP="005B478D">
      <w:pPr>
        <w:rPr>
          <w:rFonts w:cs="Arial"/>
          <w:sz w:val="20"/>
          <w:szCs w:val="20"/>
        </w:rPr>
      </w:pPr>
    </w:p>
    <w:p w:rsidR="008E4DE2" w:rsidRDefault="008E4DE2" w:rsidP="005B478D">
      <w:pPr>
        <w:rPr>
          <w:rFonts w:cs="Arial"/>
          <w:b/>
          <w:sz w:val="20"/>
          <w:szCs w:val="20"/>
        </w:rPr>
      </w:pPr>
    </w:p>
    <w:p w:rsidR="003F49E7" w:rsidRDefault="003F49E7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5B478D" w:rsidRPr="005B478D" w:rsidRDefault="005B478D" w:rsidP="005B478D">
      <w:pPr>
        <w:rPr>
          <w:rFonts w:cs="Arial"/>
          <w:b/>
          <w:sz w:val="20"/>
          <w:szCs w:val="20"/>
        </w:rPr>
      </w:pPr>
      <w:r w:rsidRPr="005B478D">
        <w:rPr>
          <w:rFonts w:cs="Arial"/>
          <w:b/>
          <w:sz w:val="20"/>
          <w:szCs w:val="20"/>
        </w:rPr>
        <w:t>Other sources of error</w:t>
      </w:r>
    </w:p>
    <w:p w:rsidR="005B478D" w:rsidRPr="005B478D" w:rsidRDefault="005B478D" w:rsidP="005B478D">
      <w:pPr>
        <w:rPr>
          <w:rFonts w:cs="Arial"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1985"/>
        <w:gridCol w:w="4819"/>
      </w:tblGrid>
      <w:tr w:rsidR="005B478D" w:rsidRPr="005B478D" w:rsidTr="00D04926">
        <w:tc>
          <w:tcPr>
            <w:tcW w:w="2864" w:type="dxa"/>
            <w:shd w:val="clear" w:color="auto" w:fill="auto"/>
          </w:tcPr>
          <w:p w:rsidR="005B478D" w:rsidRPr="005B478D" w:rsidRDefault="005B478D" w:rsidP="008C3CE2">
            <w:pPr>
              <w:rPr>
                <w:rFonts w:cs="Arial"/>
                <w:b/>
                <w:sz w:val="20"/>
                <w:szCs w:val="20"/>
              </w:rPr>
            </w:pPr>
            <w:r w:rsidRPr="005B478D">
              <w:rPr>
                <w:rFonts w:cs="Arial"/>
                <w:b/>
                <w:sz w:val="20"/>
                <w:szCs w:val="20"/>
              </w:rPr>
              <w:t>Problem</w:t>
            </w:r>
          </w:p>
        </w:tc>
        <w:tc>
          <w:tcPr>
            <w:tcW w:w="1985" w:type="dxa"/>
            <w:shd w:val="clear" w:color="auto" w:fill="auto"/>
          </w:tcPr>
          <w:p w:rsidR="005B478D" w:rsidRPr="005B478D" w:rsidRDefault="005B478D" w:rsidP="008C3CE2">
            <w:pPr>
              <w:rPr>
                <w:rFonts w:cs="Arial"/>
                <w:b/>
                <w:sz w:val="20"/>
                <w:szCs w:val="20"/>
              </w:rPr>
            </w:pPr>
            <w:r w:rsidRPr="005B478D">
              <w:rPr>
                <w:rFonts w:cs="Arial"/>
                <w:b/>
                <w:sz w:val="20"/>
                <w:szCs w:val="20"/>
              </w:rPr>
              <w:t>May cause</w:t>
            </w:r>
          </w:p>
          <w:p w:rsidR="005B478D" w:rsidRPr="005B478D" w:rsidRDefault="005B478D" w:rsidP="008C3CE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:rsidR="005B478D" w:rsidRPr="005B478D" w:rsidRDefault="005B478D" w:rsidP="008C3CE2">
            <w:pPr>
              <w:rPr>
                <w:rFonts w:cs="Arial"/>
                <w:b/>
                <w:sz w:val="20"/>
                <w:szCs w:val="20"/>
              </w:rPr>
            </w:pPr>
            <w:r w:rsidRPr="005B478D">
              <w:rPr>
                <w:rFonts w:cs="Arial"/>
                <w:b/>
                <w:sz w:val="20"/>
                <w:szCs w:val="20"/>
              </w:rPr>
              <w:t>Solution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Dipsticks out of date or inappropriately stored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False results due to altered reagent activity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Discard strips and repeat the test with a new vial of test strips.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Reading strip after too short or too long a time interval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False results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Repeat test, reading the resul</w:t>
            </w:r>
            <w:r w:rsidR="00D04926">
              <w:rPr>
                <w:rFonts w:cs="Arial"/>
                <w:sz w:val="18"/>
                <w:szCs w:val="18"/>
              </w:rPr>
              <w:t xml:space="preserve">ts at the appropriate time. For the Medi-Test Combi 8 dipsticks this is </w:t>
            </w:r>
            <w:r w:rsidRPr="008E4DE2">
              <w:rPr>
                <w:rFonts w:cs="Arial"/>
                <w:sz w:val="18"/>
                <w:szCs w:val="18"/>
              </w:rPr>
              <w:t>60-120 seconds for leucocytes; 30-60 seconds for everything else.</w:t>
            </w:r>
          </w:p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b/>
                <w:sz w:val="18"/>
                <w:szCs w:val="18"/>
              </w:rPr>
              <w:t>NB</w:t>
            </w:r>
            <w:r w:rsidRPr="008E4DE2">
              <w:rPr>
                <w:rFonts w:cs="Arial"/>
                <w:sz w:val="18"/>
                <w:szCs w:val="18"/>
              </w:rPr>
              <w:t xml:space="preserve"> different makes of dipsticks will have different reaction times.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Inappropriate specimen pot and/or sampling vessel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False results due to residues of disinfectant and detergents.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Collect a fresh specimen using appropriate specimen pot and/or sampling vessel and re-test.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Old sample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False results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Collect a fresh urine sample and test within 2 hours of collection.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Note: if visually checking the test strip (by eye):</w:t>
            </w:r>
          </w:p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Test strip pot held the wrong way round when comparing test strip to reference colour fields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Wrong results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Ensure that the arrows on the test strip are aligned to those on the label before comparing to the colour scale.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Highly coloured urine (e.g. medical dyes or beetroot pigments)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May mask the colouration of test fields giving false positive or false negative results.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Be aware that test field colour changes may be affected when interpreting results.</w:t>
            </w:r>
          </w:p>
        </w:tc>
      </w:tr>
      <w:tr w:rsidR="005B478D" w:rsidRPr="008E4DE2" w:rsidTr="00D04926">
        <w:tc>
          <w:tcPr>
            <w:tcW w:w="2864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Various drugs</w:t>
            </w:r>
          </w:p>
        </w:tc>
        <w:tc>
          <w:tcPr>
            <w:tcW w:w="1985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Falsely high or low results</w:t>
            </w:r>
          </w:p>
        </w:tc>
        <w:tc>
          <w:tcPr>
            <w:tcW w:w="4819" w:type="dxa"/>
            <w:shd w:val="clear" w:color="auto" w:fill="auto"/>
          </w:tcPr>
          <w:p w:rsidR="005B478D" w:rsidRPr="008E4DE2" w:rsidRDefault="005B478D" w:rsidP="008C3CE2">
            <w:pPr>
              <w:rPr>
                <w:rFonts w:cs="Arial"/>
                <w:sz w:val="18"/>
                <w:szCs w:val="18"/>
              </w:rPr>
            </w:pPr>
            <w:r w:rsidRPr="008E4DE2">
              <w:rPr>
                <w:rFonts w:cs="Arial"/>
                <w:sz w:val="18"/>
                <w:szCs w:val="18"/>
              </w:rPr>
              <w:t>Be aware of any medications that the patient is taking and their effect on urine dipstick testing.</w:t>
            </w:r>
          </w:p>
        </w:tc>
      </w:tr>
    </w:tbl>
    <w:p w:rsidR="0053380F" w:rsidRPr="005B478D" w:rsidRDefault="0053380F" w:rsidP="005B478D">
      <w:pPr>
        <w:rPr>
          <w:rFonts w:cs="Arial"/>
          <w:sz w:val="20"/>
          <w:szCs w:val="20"/>
        </w:rPr>
      </w:pPr>
    </w:p>
    <w:sectPr w:rsidR="0053380F" w:rsidRPr="005B478D" w:rsidSect="00836413">
      <w:headerReference w:type="default" r:id="rId7"/>
      <w:footerReference w:type="default" r:id="rId8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3B" w:rsidRDefault="0060303B">
      <w:r>
        <w:separator/>
      </w:r>
    </w:p>
  </w:endnote>
  <w:endnote w:type="continuationSeparator" w:id="0">
    <w:p w:rsidR="0060303B" w:rsidRDefault="0060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DC" w:rsidRPr="001521DC" w:rsidRDefault="001521DC" w:rsidP="00836413">
    <w:pPr>
      <w:jc w:val="center"/>
      <w:rPr>
        <w:color w:val="808080"/>
        <w:sz w:val="18"/>
        <w:szCs w:val="18"/>
      </w:rPr>
    </w:pP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2478"/>
      <w:gridCol w:w="2740"/>
      <w:gridCol w:w="2922"/>
      <w:gridCol w:w="1488"/>
    </w:tblGrid>
    <w:tr w:rsidR="00612705" w:rsidRPr="001521DC">
      <w:tc>
        <w:tcPr>
          <w:tcW w:w="2539" w:type="dxa"/>
        </w:tcPr>
        <w:p w:rsidR="00612705" w:rsidRPr="001521DC" w:rsidRDefault="003D6B77" w:rsidP="003D6B77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Author: B. Harris</w:t>
          </w:r>
        </w:p>
      </w:tc>
      <w:tc>
        <w:tcPr>
          <w:tcW w:w="2805" w:type="dxa"/>
        </w:tcPr>
        <w:p w:rsidR="00612705" w:rsidRPr="001521DC" w:rsidRDefault="00612705">
          <w:pPr>
            <w:pStyle w:val="Footer"/>
            <w:rPr>
              <w:sz w:val="20"/>
              <w:szCs w:val="20"/>
            </w:rPr>
          </w:pPr>
          <w:r w:rsidRPr="001521DC">
            <w:rPr>
              <w:sz w:val="20"/>
              <w:szCs w:val="20"/>
            </w:rPr>
            <w:t>Checked by:</w:t>
          </w:r>
          <w:r w:rsidR="003D6B77">
            <w:rPr>
              <w:sz w:val="20"/>
              <w:szCs w:val="20"/>
            </w:rPr>
            <w:t xml:space="preserve"> B.Harris</w:t>
          </w:r>
        </w:p>
      </w:tc>
      <w:tc>
        <w:tcPr>
          <w:tcW w:w="2992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Approved by:</w:t>
          </w:r>
          <w:r w:rsidR="005B478D">
            <w:rPr>
              <w:sz w:val="20"/>
              <w:szCs w:val="20"/>
            </w:rPr>
            <w:t xml:space="preserve"> N. Hodges</w:t>
          </w:r>
        </w:p>
      </w:tc>
      <w:tc>
        <w:tcPr>
          <w:tcW w:w="1518" w:type="dxa"/>
        </w:tcPr>
        <w:p w:rsidR="00612705" w:rsidRPr="0008647D" w:rsidRDefault="00612705">
          <w:pPr>
            <w:pStyle w:val="Footer"/>
            <w:rPr>
              <w:sz w:val="20"/>
              <w:szCs w:val="20"/>
            </w:rPr>
          </w:pPr>
          <w:r w:rsidRPr="0008647D">
            <w:rPr>
              <w:sz w:val="20"/>
              <w:szCs w:val="20"/>
            </w:rPr>
            <w:t xml:space="preserve">Page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PAGE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60303B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  <w:r w:rsidRPr="0008647D">
            <w:rPr>
              <w:rStyle w:val="PageNumber"/>
              <w:sz w:val="20"/>
              <w:szCs w:val="20"/>
            </w:rPr>
            <w:t xml:space="preserve"> of </w:t>
          </w:r>
          <w:r w:rsidRPr="0008647D">
            <w:rPr>
              <w:rStyle w:val="PageNumber"/>
              <w:sz w:val="20"/>
              <w:szCs w:val="20"/>
            </w:rPr>
            <w:fldChar w:fldCharType="begin"/>
          </w:r>
          <w:r w:rsidRPr="0008647D">
            <w:rPr>
              <w:rStyle w:val="PageNumber"/>
              <w:sz w:val="20"/>
              <w:szCs w:val="20"/>
            </w:rPr>
            <w:instrText xml:space="preserve"> NUMPAGES </w:instrText>
          </w:r>
          <w:r w:rsidRPr="0008647D">
            <w:rPr>
              <w:rStyle w:val="PageNumber"/>
              <w:sz w:val="20"/>
              <w:szCs w:val="20"/>
            </w:rPr>
            <w:fldChar w:fldCharType="separate"/>
          </w:r>
          <w:r w:rsidR="0060303B">
            <w:rPr>
              <w:rStyle w:val="PageNumber"/>
              <w:noProof/>
              <w:sz w:val="20"/>
              <w:szCs w:val="20"/>
            </w:rPr>
            <w:t>1</w:t>
          </w:r>
          <w:r w:rsidRPr="0008647D">
            <w:rPr>
              <w:rStyle w:val="PageNumber"/>
              <w:sz w:val="20"/>
              <w:szCs w:val="20"/>
            </w:rPr>
            <w:fldChar w:fldCharType="end"/>
          </w:r>
        </w:p>
      </w:tc>
    </w:tr>
  </w:tbl>
  <w:p w:rsidR="00836413" w:rsidRDefault="00836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3B" w:rsidRDefault="0060303B">
      <w:r>
        <w:separator/>
      </w:r>
    </w:p>
  </w:footnote>
  <w:footnote w:type="continuationSeparator" w:id="0">
    <w:p w:rsidR="0060303B" w:rsidRDefault="00603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72" w:rsidRPr="00BF05CF" w:rsidRDefault="00C96E72" w:rsidP="007A19C4">
    <w:pPr>
      <w:pStyle w:val="Header"/>
      <w:tabs>
        <w:tab w:val="left" w:pos="6358"/>
      </w:tabs>
      <w:jc w:val="right"/>
      <w:rPr>
        <w:b/>
      </w:rPr>
    </w:pPr>
    <w:r w:rsidRPr="00BF05CF">
      <w:rPr>
        <w:b/>
      </w:rPr>
      <w:t xml:space="preserve">RUH Bath NHS </w:t>
    </w:r>
    <w:r w:rsidR="006F1154">
      <w:rPr>
        <w:b/>
      </w:rPr>
      <w:t>Foundation</w:t>
    </w:r>
    <w:r w:rsidR="00B02F98">
      <w:rPr>
        <w:b/>
      </w:rPr>
      <w:t xml:space="preserve"> </w:t>
    </w:r>
    <w:r w:rsidRPr="00BF05CF">
      <w:rPr>
        <w:b/>
      </w:rPr>
      <w:t>Trust – Pathology Department</w:t>
    </w:r>
  </w:p>
  <w:p w:rsidR="001521DC" w:rsidRPr="00BF05CF" w:rsidRDefault="00294D67" w:rsidP="001521DC">
    <w:pPr>
      <w:pStyle w:val="Header"/>
    </w:pPr>
    <w:r>
      <w:t>FORM</w:t>
    </w:r>
    <w:r w:rsidR="00F769B0" w:rsidRPr="00BF05CF">
      <w:t xml:space="preserve">    </w:t>
    </w:r>
    <w:r>
      <w:t xml:space="preserve"> FM</w:t>
    </w:r>
    <w:r w:rsidR="00DE39E8" w:rsidRPr="00BF05CF">
      <w:t>/</w:t>
    </w:r>
    <w:r w:rsidR="003D6B77">
      <w:t>POCT</w:t>
    </w:r>
    <w:r w:rsidR="00DE39E8" w:rsidRPr="00BF05CF">
      <w:t>/</w:t>
    </w:r>
    <w:r w:rsidR="00596644">
      <w:t>95/1</w:t>
    </w:r>
  </w:p>
  <w:p w:rsidR="00F769B0" w:rsidRPr="00F769B0" w:rsidRDefault="00F769B0" w:rsidP="001521DC">
    <w:pPr>
      <w:pStyle w:val="Head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779"/>
      <w:gridCol w:w="3859"/>
    </w:tblGrid>
    <w:tr w:rsidR="00F769B0">
      <w:tc>
        <w:tcPr>
          <w:tcW w:w="5905" w:type="dxa"/>
        </w:tcPr>
        <w:p w:rsidR="00F769B0" w:rsidRDefault="00F769B0" w:rsidP="003F4700">
          <w:pPr>
            <w:pStyle w:val="Header"/>
            <w:ind w:left="709" w:hanging="709"/>
          </w:pPr>
          <w:r>
            <w:t>Title</w:t>
          </w:r>
          <w:r w:rsidRPr="003106F5">
            <w:t xml:space="preserve">:  </w:t>
          </w:r>
          <w:r w:rsidR="003F4700">
            <w:t>Interpretation of Urine Dipstick Screening</w:t>
          </w:r>
        </w:p>
      </w:tc>
      <w:tc>
        <w:tcPr>
          <w:tcW w:w="3949" w:type="dxa"/>
        </w:tcPr>
        <w:p w:rsidR="00F769B0" w:rsidRPr="0053380F" w:rsidRDefault="0053380F" w:rsidP="00294ADC">
          <w:pPr>
            <w:pStyle w:val="Header"/>
            <w:rPr>
              <w:sz w:val="20"/>
              <w:szCs w:val="20"/>
            </w:rPr>
          </w:pPr>
          <w:r>
            <w:t>Effective date:</w:t>
          </w:r>
          <w:r w:rsidRPr="003106F5">
            <w:t xml:space="preserve"> </w:t>
          </w:r>
          <w:r w:rsidR="003106F5" w:rsidRPr="003106F5">
            <w:t xml:space="preserve"> </w:t>
          </w:r>
          <w:r w:rsidR="00294ADC">
            <w:t>31/03/2023</w:t>
          </w:r>
          <w:r w:rsidR="003106F5" w:rsidRPr="003106F5">
            <w:t xml:space="preserve">  </w:t>
          </w:r>
          <w:r w:rsidRPr="003106F5">
            <w:t xml:space="preserve"> </w:t>
          </w:r>
        </w:p>
      </w:tc>
    </w:tr>
  </w:tbl>
  <w:p w:rsidR="00F769B0" w:rsidRPr="001521DC" w:rsidRDefault="00F769B0" w:rsidP="00152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937"/>
    <w:multiLevelType w:val="hybridMultilevel"/>
    <w:tmpl w:val="40D47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719"/>
    <w:multiLevelType w:val="hybridMultilevel"/>
    <w:tmpl w:val="0BFAC5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9478AF"/>
    <w:multiLevelType w:val="singleLevel"/>
    <w:tmpl w:val="62EC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E"/>
    <w:rsid w:val="0008647D"/>
    <w:rsid w:val="000B30EF"/>
    <w:rsid w:val="000E54E8"/>
    <w:rsid w:val="001521DC"/>
    <w:rsid w:val="001924CE"/>
    <w:rsid w:val="001E69D9"/>
    <w:rsid w:val="00231218"/>
    <w:rsid w:val="00294ADC"/>
    <w:rsid w:val="00294D67"/>
    <w:rsid w:val="002A7CC3"/>
    <w:rsid w:val="002D6FDB"/>
    <w:rsid w:val="002F482B"/>
    <w:rsid w:val="003106F5"/>
    <w:rsid w:val="00321793"/>
    <w:rsid w:val="00346B9B"/>
    <w:rsid w:val="00391375"/>
    <w:rsid w:val="00392773"/>
    <w:rsid w:val="003D6B77"/>
    <w:rsid w:val="003F4700"/>
    <w:rsid w:val="003F49E7"/>
    <w:rsid w:val="00476E04"/>
    <w:rsid w:val="004A129F"/>
    <w:rsid w:val="004C7646"/>
    <w:rsid w:val="004D6625"/>
    <w:rsid w:val="004E0510"/>
    <w:rsid w:val="0053380F"/>
    <w:rsid w:val="00572BFE"/>
    <w:rsid w:val="00574C62"/>
    <w:rsid w:val="00596644"/>
    <w:rsid w:val="005B478D"/>
    <w:rsid w:val="005F3F71"/>
    <w:rsid w:val="0060303B"/>
    <w:rsid w:val="006076F8"/>
    <w:rsid w:val="00612705"/>
    <w:rsid w:val="006B446E"/>
    <w:rsid w:val="006F1154"/>
    <w:rsid w:val="00712688"/>
    <w:rsid w:val="00713F6D"/>
    <w:rsid w:val="00755F5B"/>
    <w:rsid w:val="007753D7"/>
    <w:rsid w:val="007A19C4"/>
    <w:rsid w:val="007A7673"/>
    <w:rsid w:val="0080578F"/>
    <w:rsid w:val="00810FAA"/>
    <w:rsid w:val="00821041"/>
    <w:rsid w:val="00836413"/>
    <w:rsid w:val="00847F4B"/>
    <w:rsid w:val="00857C93"/>
    <w:rsid w:val="00872C6E"/>
    <w:rsid w:val="00895349"/>
    <w:rsid w:val="008C2559"/>
    <w:rsid w:val="008E4DE2"/>
    <w:rsid w:val="008F62EB"/>
    <w:rsid w:val="0095216F"/>
    <w:rsid w:val="00953BC5"/>
    <w:rsid w:val="00A0055E"/>
    <w:rsid w:val="00A64E92"/>
    <w:rsid w:val="00B02F98"/>
    <w:rsid w:val="00B24D9D"/>
    <w:rsid w:val="00B47ADF"/>
    <w:rsid w:val="00BF05CF"/>
    <w:rsid w:val="00C96E72"/>
    <w:rsid w:val="00CC498D"/>
    <w:rsid w:val="00CF7DA6"/>
    <w:rsid w:val="00D04926"/>
    <w:rsid w:val="00D44F3E"/>
    <w:rsid w:val="00D96F4A"/>
    <w:rsid w:val="00DA7DEC"/>
    <w:rsid w:val="00DE39E8"/>
    <w:rsid w:val="00E22C96"/>
    <w:rsid w:val="00E23E09"/>
    <w:rsid w:val="00EF5563"/>
    <w:rsid w:val="00F0393F"/>
    <w:rsid w:val="00F713A8"/>
    <w:rsid w:val="00F769B0"/>
    <w:rsid w:val="00FC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769B90-CE40-46AE-88B9-E36A9F1F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1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364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64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47D"/>
  </w:style>
  <w:style w:type="paragraph" w:styleId="BalloonText">
    <w:name w:val="Balloon Text"/>
    <w:basedOn w:val="Normal"/>
    <w:semiHidden/>
    <w:rsid w:val="00DE39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a\AppData\Local\Temp\83c775eb-fb90-4ea6-834b-034fa2db221b\Form%20template%20portrait%20for%20RUH%205%20Oct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 portrait for RUH 5 Oct 09.dot</Template>
  <TotalTime>71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</vt:lpstr>
    </vt:vector>
  </TitlesOfParts>
  <Company>RUH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creator>Hall, Annette</dc:creator>
  <cp:lastModifiedBy>Harris, Beverley</cp:lastModifiedBy>
  <cp:revision>12</cp:revision>
  <cp:lastPrinted>2009-09-22T10:13:00Z</cp:lastPrinted>
  <dcterms:created xsi:type="dcterms:W3CDTF">2022-11-18T11:31:00Z</dcterms:created>
  <dcterms:modified xsi:type="dcterms:W3CDTF">2023-03-31T11:21:00Z</dcterms:modified>
</cp:coreProperties>
</file>