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AF4C0" w14:textId="6D032B31" w:rsidR="004C37E2" w:rsidRPr="00984A2E" w:rsidRDefault="00976B1D" w:rsidP="004C37E2">
      <w:pPr>
        <w:rPr>
          <w:sz w:val="12"/>
          <w:szCs w:val="12"/>
        </w:rPr>
        <w:sectPr w:rsidR="004C37E2" w:rsidRPr="00984A2E" w:rsidSect="00F90F43">
          <w:headerReference w:type="default" r:id="rId9"/>
          <w:footerReference w:type="default" r:id="rId10"/>
          <w:headerReference w:type="first" r:id="rId11"/>
          <w:pgSz w:w="11906" w:h="16838" w:code="9"/>
          <w:pgMar w:top="2269" w:right="1559" w:bottom="1418" w:left="1559" w:header="510" w:footer="340" w:gutter="0"/>
          <w:cols w:space="851"/>
          <w:titlePg/>
          <w:docGrid w:linePitch="360"/>
        </w:sectPr>
      </w:pPr>
      <w:bookmarkStart w:id="0" w:name="_GoBack"/>
      <w:bookmarkEnd w:id="0"/>
      <w:r>
        <w:rPr>
          <w:noProof/>
          <w:sz w:val="12"/>
          <w:szCs w:val="12"/>
        </w:rPr>
        <w:drawing>
          <wp:anchor distT="0" distB="0" distL="114300" distR="114300" simplePos="0" relativeHeight="251664384" behindDoc="1" locked="0" layoutInCell="1" allowOverlap="1" wp14:anchorId="2D9CE240" wp14:editId="55E3418A">
            <wp:simplePos x="0" y="0"/>
            <wp:positionH relativeFrom="column">
              <wp:posOffset>-690245</wp:posOffset>
            </wp:positionH>
            <wp:positionV relativeFrom="paragraph">
              <wp:posOffset>-231140</wp:posOffset>
            </wp:positionV>
            <wp:extent cx="6987600" cy="1695600"/>
            <wp:effectExtent l="0" t="0" r="3810" b="0"/>
            <wp:wrapNone/>
            <wp:docPr id="23" name="Picture 23" descr="E:\PJS Design\_____2017 April REBRANDING\Updated Clinical Leaflets\Clinical A4\Design Files\A4 Cover Title Bar Th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JS Design\_____2017 April REBRANDING\Updated Clinical Leaflets\Clinical A4\Design Files\A4 Cover Title Bar Thin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7600" cy="16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C2517" w14:textId="06BC7C88" w:rsidR="00AA4FA9" w:rsidRDefault="00895391" w:rsidP="004C37E2">
      <w:pPr>
        <w:pStyle w:val="Title"/>
        <w:rPr>
          <w:sz w:val="56"/>
          <w:szCs w:val="56"/>
          <w:vertAlign w:val="subscript"/>
        </w:rPr>
      </w:pPr>
      <w:r w:rsidRPr="00895391">
        <w:rPr>
          <w:sz w:val="56"/>
          <w:szCs w:val="56"/>
        </w:rPr>
        <w:lastRenderedPageBreak/>
        <w:t>Reticulocyte Haemoglobin</w:t>
      </w:r>
      <w:r>
        <w:rPr>
          <w:sz w:val="56"/>
          <w:szCs w:val="56"/>
        </w:rPr>
        <w:t xml:space="preserve"> </w:t>
      </w:r>
      <w:r w:rsidRPr="00895391">
        <w:rPr>
          <w:sz w:val="56"/>
          <w:szCs w:val="56"/>
        </w:rPr>
        <w:t>equivalent</w:t>
      </w:r>
    </w:p>
    <w:p w14:paraId="60E7E498" w14:textId="77777777" w:rsidR="00895391" w:rsidRDefault="00895391" w:rsidP="00895391"/>
    <w:p w14:paraId="3B39907B" w14:textId="24CA468F" w:rsidR="00895391" w:rsidRPr="00895391" w:rsidRDefault="00895391" w:rsidP="00895391">
      <w:pPr>
        <w:rPr>
          <w:sz w:val="56"/>
          <w:szCs w:val="56"/>
        </w:rPr>
      </w:pPr>
      <w:r>
        <w:rPr>
          <w:sz w:val="56"/>
          <w:szCs w:val="56"/>
        </w:rPr>
        <w:t>Ret-H</w:t>
      </w:r>
      <w:r w:rsidRPr="00895391">
        <w:rPr>
          <w:sz w:val="56"/>
          <w:szCs w:val="56"/>
          <w:vertAlign w:val="subscript"/>
        </w:rPr>
        <w:t>e</w:t>
      </w:r>
      <w:r>
        <w:rPr>
          <w:sz w:val="56"/>
          <w:szCs w:val="56"/>
        </w:rPr>
        <w:t xml:space="preserve"> Parameter</w:t>
      </w:r>
    </w:p>
    <w:p w14:paraId="385CF320" w14:textId="77777777" w:rsidR="00895391" w:rsidRPr="00895391" w:rsidRDefault="00895391" w:rsidP="00895391"/>
    <w:p w14:paraId="514C0627" w14:textId="77777777" w:rsidR="00895391" w:rsidRPr="00895391" w:rsidRDefault="00895391" w:rsidP="00895391"/>
    <w:p w14:paraId="4E27DE2A" w14:textId="77777777" w:rsidR="00A02FB5" w:rsidRDefault="00A02FB5" w:rsidP="004C3978">
      <w:pPr>
        <w:pStyle w:val="Subtitle"/>
      </w:pPr>
    </w:p>
    <w:p w14:paraId="7F019232" w14:textId="77777777" w:rsidR="00895391" w:rsidRDefault="00895391" w:rsidP="00AA4FA9">
      <w:pPr>
        <w:pStyle w:val="BodyText"/>
      </w:pPr>
    </w:p>
    <w:p w14:paraId="7A52757B" w14:textId="77777777" w:rsidR="00895391" w:rsidRDefault="00895391" w:rsidP="00AA4FA9">
      <w:pPr>
        <w:pStyle w:val="BodyText"/>
      </w:pPr>
    </w:p>
    <w:p w14:paraId="350CE2E5" w14:textId="77777777" w:rsidR="004C37E2" w:rsidRDefault="00C8612E" w:rsidP="00AA4FA9">
      <w:pPr>
        <w:pStyle w:val="BodyText"/>
      </w:pPr>
      <w:r>
        <w:rPr>
          <w:noProof/>
        </w:rPr>
        <w:drawing>
          <wp:anchor distT="0" distB="0" distL="114300" distR="114300" simplePos="0" relativeHeight="251665408" behindDoc="1" locked="1" layoutInCell="1" allowOverlap="1" wp14:anchorId="0AC51414" wp14:editId="7B5B276B">
            <wp:simplePos x="0" y="0"/>
            <wp:positionH relativeFrom="column">
              <wp:posOffset>4848860</wp:posOffset>
            </wp:positionH>
            <wp:positionV relativeFrom="page">
              <wp:posOffset>2228850</wp:posOffset>
            </wp:positionV>
            <wp:extent cx="1276350" cy="14636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Blue Lozenges.png"/>
                    <pic:cNvPicPr/>
                  </pic:nvPicPr>
                  <pic:blipFill>
                    <a:blip r:embed="rId13"/>
                    <a:stretch>
                      <a:fillRect/>
                    </a:stretch>
                  </pic:blipFill>
                  <pic:spPr>
                    <a:xfrm>
                      <a:off x="0" y="0"/>
                      <a:ext cx="1276350" cy="1463675"/>
                    </a:xfrm>
                    <a:prstGeom prst="rect">
                      <a:avLst/>
                    </a:prstGeom>
                  </pic:spPr>
                </pic:pic>
              </a:graphicData>
            </a:graphic>
            <wp14:sizeRelH relativeFrom="margin">
              <wp14:pctWidth>0</wp14:pctWidth>
            </wp14:sizeRelH>
            <wp14:sizeRelV relativeFrom="margin">
              <wp14:pctHeight>0</wp14:pctHeight>
            </wp14:sizeRelV>
          </wp:anchor>
        </w:drawing>
      </w:r>
    </w:p>
    <w:p w14:paraId="5FF494B3" w14:textId="77777777" w:rsidR="00895391" w:rsidRPr="004C718C" w:rsidRDefault="00895391" w:rsidP="00895391">
      <w:pPr>
        <w:spacing w:line="240" w:lineRule="auto"/>
        <w:rPr>
          <w:rFonts w:asciiTheme="minorHAnsi" w:hAnsiTheme="minorHAnsi" w:cstheme="minorHAnsi"/>
          <w:szCs w:val="24"/>
          <w:lang w:val="en-US"/>
        </w:rPr>
      </w:pPr>
      <w:proofErr w:type="spellStart"/>
      <w:r w:rsidRPr="004C718C">
        <w:rPr>
          <w:rFonts w:asciiTheme="minorHAnsi" w:hAnsiTheme="minorHAnsi" w:cstheme="minorHAnsi"/>
          <w:szCs w:val="24"/>
          <w:lang w:val="en-US"/>
        </w:rPr>
        <w:t>Anaemia</w:t>
      </w:r>
      <w:proofErr w:type="spellEnd"/>
      <w:r w:rsidRPr="004C718C">
        <w:rPr>
          <w:rFonts w:asciiTheme="minorHAnsi" w:hAnsiTheme="minorHAnsi" w:cstheme="minorHAnsi"/>
          <w:szCs w:val="24"/>
          <w:lang w:val="en-US"/>
        </w:rPr>
        <w:t xml:space="preserve"> is one of the most common symptoms of many diseases and one of the most underestimated RBC disorders. The mean intracellular </w:t>
      </w:r>
      <w:proofErr w:type="spellStart"/>
      <w:r w:rsidRPr="004C718C">
        <w:rPr>
          <w:rFonts w:asciiTheme="minorHAnsi" w:hAnsiTheme="minorHAnsi" w:cstheme="minorHAnsi"/>
          <w:szCs w:val="24"/>
          <w:lang w:val="en-US"/>
        </w:rPr>
        <w:t>haemoglobin</w:t>
      </w:r>
      <w:proofErr w:type="spellEnd"/>
      <w:r w:rsidRPr="004C718C">
        <w:rPr>
          <w:rFonts w:asciiTheme="minorHAnsi" w:hAnsiTheme="minorHAnsi" w:cstheme="minorHAnsi"/>
          <w:szCs w:val="24"/>
          <w:lang w:val="en-US"/>
        </w:rPr>
        <w:t xml:space="preserve"> content of erythrocytes (MCH) is an all-inclusive measure of both the availability of iron over the preceding 90-120 days. The </w:t>
      </w:r>
      <w:proofErr w:type="spellStart"/>
      <w:r w:rsidRPr="004C718C">
        <w:rPr>
          <w:rFonts w:asciiTheme="minorHAnsi" w:hAnsiTheme="minorHAnsi" w:cstheme="minorHAnsi"/>
          <w:szCs w:val="24"/>
          <w:lang w:val="en-US"/>
        </w:rPr>
        <w:t>haemoglobin</w:t>
      </w:r>
      <w:proofErr w:type="spellEnd"/>
      <w:r w:rsidRPr="004C718C">
        <w:rPr>
          <w:rFonts w:asciiTheme="minorHAnsi" w:hAnsiTheme="minorHAnsi" w:cstheme="minorHAnsi"/>
          <w:szCs w:val="24"/>
          <w:lang w:val="en-US"/>
        </w:rPr>
        <w:t xml:space="preserve"> and </w:t>
      </w:r>
      <w:proofErr w:type="spellStart"/>
      <w:r w:rsidRPr="004C718C">
        <w:rPr>
          <w:rFonts w:asciiTheme="minorHAnsi" w:hAnsiTheme="minorHAnsi" w:cstheme="minorHAnsi"/>
          <w:szCs w:val="24"/>
          <w:lang w:val="en-US"/>
        </w:rPr>
        <w:t>haematocrit</w:t>
      </w:r>
      <w:proofErr w:type="spellEnd"/>
      <w:r w:rsidRPr="004C718C">
        <w:rPr>
          <w:rFonts w:asciiTheme="minorHAnsi" w:hAnsiTheme="minorHAnsi" w:cstheme="minorHAnsi"/>
          <w:szCs w:val="24"/>
          <w:lang w:val="en-US"/>
        </w:rPr>
        <w:t xml:space="preserve"> are also relatively static parameters and may change too slowly to be useful as primary indicators of the rate of erythropoiesis or cellular iron status. Iron store estimates do not provide an assessment of the availability of iron for introduction into erythrocyte </w:t>
      </w:r>
      <w:proofErr w:type="spellStart"/>
      <w:r w:rsidRPr="004C718C">
        <w:rPr>
          <w:rFonts w:asciiTheme="minorHAnsi" w:hAnsiTheme="minorHAnsi" w:cstheme="minorHAnsi"/>
          <w:szCs w:val="24"/>
          <w:lang w:val="en-US"/>
        </w:rPr>
        <w:t>haemoglobin</w:t>
      </w:r>
      <w:proofErr w:type="spellEnd"/>
      <w:r w:rsidRPr="004C718C">
        <w:rPr>
          <w:rFonts w:asciiTheme="minorHAnsi" w:hAnsiTheme="minorHAnsi" w:cstheme="minorHAnsi"/>
          <w:szCs w:val="24"/>
          <w:lang w:val="en-US"/>
        </w:rPr>
        <w:t xml:space="preserve">. This leads to the concept of </w:t>
      </w:r>
      <w:r w:rsidRPr="004C718C">
        <w:rPr>
          <w:rFonts w:asciiTheme="minorHAnsi" w:hAnsiTheme="minorHAnsi" w:cstheme="minorHAnsi"/>
          <w:b/>
          <w:i/>
          <w:szCs w:val="24"/>
          <w:lang w:val="en-US"/>
        </w:rPr>
        <w:t xml:space="preserve">‘functional iron deficiency’ </w:t>
      </w:r>
      <w:r w:rsidRPr="004C718C">
        <w:rPr>
          <w:rFonts w:asciiTheme="minorHAnsi" w:hAnsiTheme="minorHAnsi" w:cstheme="minorHAnsi"/>
          <w:szCs w:val="24"/>
          <w:lang w:val="en-US"/>
        </w:rPr>
        <w:t xml:space="preserve">a phenomenon seen in </w:t>
      </w:r>
      <w:proofErr w:type="spellStart"/>
      <w:r w:rsidRPr="004C718C">
        <w:rPr>
          <w:rFonts w:asciiTheme="minorHAnsi" w:hAnsiTheme="minorHAnsi" w:cstheme="minorHAnsi"/>
          <w:szCs w:val="24"/>
          <w:lang w:val="en-US"/>
        </w:rPr>
        <w:t>anaemia</w:t>
      </w:r>
      <w:proofErr w:type="spellEnd"/>
      <w:r w:rsidRPr="004C718C">
        <w:rPr>
          <w:rFonts w:asciiTheme="minorHAnsi" w:hAnsiTheme="minorHAnsi" w:cstheme="minorHAnsi"/>
          <w:szCs w:val="24"/>
          <w:lang w:val="en-US"/>
        </w:rPr>
        <w:t xml:space="preserve"> of chronic disease (ACD).</w:t>
      </w:r>
    </w:p>
    <w:p w14:paraId="44F97A28" w14:textId="77777777" w:rsidR="00895391" w:rsidRPr="004C718C" w:rsidRDefault="00895391" w:rsidP="00895391">
      <w:pPr>
        <w:spacing w:line="240" w:lineRule="auto"/>
        <w:rPr>
          <w:rFonts w:asciiTheme="minorHAnsi" w:hAnsiTheme="minorHAnsi" w:cstheme="minorHAnsi"/>
          <w:szCs w:val="24"/>
          <w:lang w:val="en-US"/>
        </w:rPr>
      </w:pPr>
    </w:p>
    <w:p w14:paraId="31D03649" w14:textId="77777777" w:rsidR="00895391" w:rsidRPr="004C718C" w:rsidRDefault="00895391" w:rsidP="00895391">
      <w:pPr>
        <w:spacing w:line="240" w:lineRule="auto"/>
        <w:rPr>
          <w:rFonts w:asciiTheme="minorHAnsi" w:hAnsiTheme="minorHAnsi" w:cstheme="minorHAnsi"/>
          <w:szCs w:val="24"/>
          <w:lang w:val="en-US"/>
        </w:rPr>
      </w:pPr>
      <w:r w:rsidRPr="004C718C">
        <w:rPr>
          <w:rFonts w:asciiTheme="minorHAnsi" w:hAnsiTheme="minorHAnsi" w:cstheme="minorHAnsi"/>
          <w:szCs w:val="24"/>
          <w:lang w:val="en-US"/>
        </w:rPr>
        <w:t xml:space="preserve">By directly measuring the mean </w:t>
      </w:r>
      <w:proofErr w:type="spellStart"/>
      <w:r w:rsidRPr="004C718C">
        <w:rPr>
          <w:rFonts w:asciiTheme="minorHAnsi" w:hAnsiTheme="minorHAnsi" w:cstheme="minorHAnsi"/>
          <w:szCs w:val="24"/>
          <w:lang w:val="en-US"/>
        </w:rPr>
        <w:t>haemoglobin</w:t>
      </w:r>
      <w:proofErr w:type="spellEnd"/>
      <w:r w:rsidRPr="004C718C">
        <w:rPr>
          <w:rFonts w:asciiTheme="minorHAnsi" w:hAnsiTheme="minorHAnsi" w:cstheme="minorHAnsi"/>
          <w:szCs w:val="24"/>
          <w:lang w:val="en-US"/>
        </w:rPr>
        <w:t xml:space="preserve"> content of reticulocytes (reticulocyte </w:t>
      </w:r>
      <w:proofErr w:type="spellStart"/>
      <w:r w:rsidRPr="004C718C">
        <w:rPr>
          <w:rFonts w:asciiTheme="minorHAnsi" w:hAnsiTheme="minorHAnsi" w:cstheme="minorHAnsi"/>
          <w:szCs w:val="24"/>
          <w:lang w:val="en-US"/>
        </w:rPr>
        <w:t>haemoglobin</w:t>
      </w:r>
      <w:proofErr w:type="spellEnd"/>
      <w:r w:rsidRPr="004C718C">
        <w:rPr>
          <w:rFonts w:asciiTheme="minorHAnsi" w:hAnsiTheme="minorHAnsi" w:cstheme="minorHAnsi"/>
          <w:szCs w:val="24"/>
          <w:lang w:val="en-US"/>
        </w:rPr>
        <w:t xml:space="preserve"> equivalent -Ret-He), early stages of iron deficiency may be identified, at a time that other traditional biochemical markers and other red cell parameters are non-informative. The Ret-He is a direct assessment of the incorporation of iron into erythrocyte </w:t>
      </w:r>
      <w:proofErr w:type="spellStart"/>
      <w:r w:rsidRPr="004C718C">
        <w:rPr>
          <w:rFonts w:asciiTheme="minorHAnsi" w:hAnsiTheme="minorHAnsi" w:cstheme="minorHAnsi"/>
          <w:szCs w:val="24"/>
          <w:lang w:val="en-US"/>
        </w:rPr>
        <w:t>haemoglobin</w:t>
      </w:r>
      <w:proofErr w:type="spellEnd"/>
      <w:r w:rsidRPr="004C718C">
        <w:rPr>
          <w:rFonts w:asciiTheme="minorHAnsi" w:hAnsiTheme="minorHAnsi" w:cstheme="minorHAnsi"/>
          <w:szCs w:val="24"/>
          <w:lang w:val="en-US"/>
        </w:rPr>
        <w:t xml:space="preserve"> and thus a direct estimate of the functional availability of iron into the </w:t>
      </w:r>
      <w:proofErr w:type="spellStart"/>
      <w:r w:rsidRPr="004C718C">
        <w:rPr>
          <w:rFonts w:asciiTheme="minorHAnsi" w:hAnsiTheme="minorHAnsi" w:cstheme="minorHAnsi"/>
          <w:szCs w:val="24"/>
          <w:lang w:val="en-US"/>
        </w:rPr>
        <w:t>erythron</w:t>
      </w:r>
      <w:proofErr w:type="spellEnd"/>
      <w:r w:rsidRPr="004C718C">
        <w:rPr>
          <w:rFonts w:asciiTheme="minorHAnsi" w:hAnsiTheme="minorHAnsi" w:cstheme="minorHAnsi"/>
          <w:szCs w:val="24"/>
          <w:lang w:val="en-US"/>
        </w:rPr>
        <w:t xml:space="preserve">. Whilst a reticulocyte count provides a </w:t>
      </w:r>
      <w:r w:rsidRPr="004C718C">
        <w:rPr>
          <w:rFonts w:asciiTheme="minorHAnsi" w:hAnsiTheme="minorHAnsi" w:cstheme="minorHAnsi"/>
          <w:b/>
          <w:i/>
          <w:szCs w:val="24"/>
          <w:lang w:val="en-US"/>
        </w:rPr>
        <w:t xml:space="preserve">‘quantity’ </w:t>
      </w:r>
      <w:r w:rsidRPr="004C718C">
        <w:rPr>
          <w:rFonts w:asciiTheme="minorHAnsi" w:hAnsiTheme="minorHAnsi" w:cstheme="minorHAnsi"/>
          <w:szCs w:val="24"/>
          <w:lang w:val="en-US"/>
        </w:rPr>
        <w:t xml:space="preserve">measurement of erythropoiesis in the marrow, the Ret-He indicates cell </w:t>
      </w:r>
      <w:proofErr w:type="spellStart"/>
      <w:r w:rsidRPr="004C718C">
        <w:rPr>
          <w:rFonts w:asciiTheme="minorHAnsi" w:hAnsiTheme="minorHAnsi" w:cstheme="minorHAnsi"/>
          <w:szCs w:val="24"/>
          <w:lang w:val="en-US"/>
        </w:rPr>
        <w:t>haemoglobinization</w:t>
      </w:r>
      <w:proofErr w:type="spellEnd"/>
      <w:r w:rsidRPr="004C718C">
        <w:rPr>
          <w:rFonts w:asciiTheme="minorHAnsi" w:hAnsiTheme="minorHAnsi" w:cstheme="minorHAnsi"/>
          <w:szCs w:val="24"/>
          <w:lang w:val="en-US"/>
        </w:rPr>
        <w:t xml:space="preserve"> and thus reflects the </w:t>
      </w:r>
      <w:r w:rsidRPr="004C718C">
        <w:rPr>
          <w:rFonts w:asciiTheme="minorHAnsi" w:hAnsiTheme="minorHAnsi" w:cstheme="minorHAnsi"/>
          <w:b/>
          <w:i/>
          <w:szCs w:val="24"/>
          <w:lang w:val="en-US"/>
        </w:rPr>
        <w:t>‘quality’</w:t>
      </w:r>
      <w:r w:rsidRPr="004C718C">
        <w:rPr>
          <w:rFonts w:asciiTheme="minorHAnsi" w:hAnsiTheme="minorHAnsi" w:cstheme="minorHAnsi"/>
          <w:szCs w:val="24"/>
          <w:lang w:val="en-US"/>
        </w:rPr>
        <w:t xml:space="preserve"> of the newly produced reticulocytes. The use of both parameters provides a complete picture of the patient’s </w:t>
      </w:r>
      <w:proofErr w:type="spellStart"/>
      <w:r w:rsidRPr="004C718C">
        <w:rPr>
          <w:rFonts w:asciiTheme="minorHAnsi" w:hAnsiTheme="minorHAnsi" w:cstheme="minorHAnsi"/>
          <w:szCs w:val="24"/>
          <w:lang w:val="en-US"/>
        </w:rPr>
        <w:t>erythropoietic</w:t>
      </w:r>
      <w:proofErr w:type="spellEnd"/>
      <w:r w:rsidRPr="004C718C">
        <w:rPr>
          <w:rFonts w:asciiTheme="minorHAnsi" w:hAnsiTheme="minorHAnsi" w:cstheme="minorHAnsi"/>
          <w:szCs w:val="24"/>
          <w:lang w:val="en-US"/>
        </w:rPr>
        <w:t xml:space="preserve"> status. </w:t>
      </w:r>
    </w:p>
    <w:p w14:paraId="1BBF5BA0" w14:textId="77777777" w:rsidR="00895391" w:rsidRPr="004C718C" w:rsidRDefault="00895391" w:rsidP="00895391">
      <w:pPr>
        <w:spacing w:line="240" w:lineRule="auto"/>
        <w:rPr>
          <w:rFonts w:asciiTheme="minorHAnsi" w:hAnsiTheme="minorHAnsi" w:cstheme="minorHAnsi"/>
          <w:szCs w:val="24"/>
          <w:lang w:val="en-US"/>
        </w:rPr>
      </w:pPr>
    </w:p>
    <w:p w14:paraId="172AB915" w14:textId="77777777" w:rsidR="00895391" w:rsidRPr="004C718C" w:rsidRDefault="00895391" w:rsidP="00895391">
      <w:pPr>
        <w:spacing w:line="240" w:lineRule="auto"/>
        <w:rPr>
          <w:rFonts w:asciiTheme="minorHAnsi" w:hAnsiTheme="minorHAnsi" w:cstheme="minorHAnsi"/>
          <w:szCs w:val="24"/>
          <w:lang w:val="en-US"/>
        </w:rPr>
      </w:pPr>
      <w:r w:rsidRPr="004C718C">
        <w:rPr>
          <w:rFonts w:asciiTheme="minorHAnsi" w:hAnsiTheme="minorHAnsi" w:cstheme="minorHAnsi"/>
          <w:szCs w:val="24"/>
          <w:lang w:val="en-US"/>
        </w:rPr>
        <w:t>The Ret-He when used with other RBC indices and biochemical markers can provide additional information to assist with earlier detection, differential diagnosis and management of iron deficiency. The Ret-He may also be able to gauge a patient’s response to iron therapy in days rather than weeks using more traditional methods (</w:t>
      </w:r>
      <w:proofErr w:type="spellStart"/>
      <w:r w:rsidRPr="004C718C">
        <w:rPr>
          <w:rFonts w:asciiTheme="minorHAnsi" w:hAnsiTheme="minorHAnsi" w:cstheme="minorHAnsi"/>
          <w:szCs w:val="24"/>
          <w:lang w:val="en-US"/>
        </w:rPr>
        <w:t>haemoglobin</w:t>
      </w:r>
      <w:proofErr w:type="spellEnd"/>
      <w:r w:rsidRPr="004C718C">
        <w:rPr>
          <w:rFonts w:asciiTheme="minorHAnsi" w:hAnsiTheme="minorHAnsi" w:cstheme="minorHAnsi"/>
          <w:szCs w:val="24"/>
          <w:lang w:val="en-US"/>
        </w:rPr>
        <w:t xml:space="preserve"> concentration may only see a significant change after 2-3 weeks). </w:t>
      </w:r>
    </w:p>
    <w:p w14:paraId="4C8AC0EB" w14:textId="75439AD3" w:rsidR="00895391" w:rsidRDefault="00895391" w:rsidP="00895391">
      <w:pPr>
        <w:pStyle w:val="Heading2"/>
      </w:pPr>
      <w:r>
        <w:t xml:space="preserve"> </w:t>
      </w:r>
    </w:p>
    <w:p w14:paraId="3D977881" w14:textId="77777777" w:rsidR="00895391" w:rsidRDefault="00895391" w:rsidP="00895391">
      <w:pPr>
        <w:pStyle w:val="BodyText"/>
      </w:pPr>
    </w:p>
    <w:p w14:paraId="76F6BD68" w14:textId="77777777" w:rsidR="00895391" w:rsidRDefault="00895391" w:rsidP="00895391">
      <w:pPr>
        <w:pStyle w:val="BodyText"/>
      </w:pPr>
    </w:p>
    <w:p w14:paraId="66BA5C7E" w14:textId="77777777" w:rsidR="004C718C" w:rsidRPr="004C718C" w:rsidRDefault="004C718C" w:rsidP="00895391">
      <w:pPr>
        <w:rPr>
          <w:b/>
        </w:rPr>
      </w:pPr>
      <w:r w:rsidRPr="004C718C">
        <w:rPr>
          <w:b/>
        </w:rPr>
        <w:lastRenderedPageBreak/>
        <w:t>Guidelines:</w:t>
      </w:r>
    </w:p>
    <w:p w14:paraId="0E7551C8" w14:textId="167B3EB1" w:rsidR="00895391" w:rsidRDefault="00895391" w:rsidP="00895391">
      <w:r>
        <w:t xml:space="preserve">Wayne Thomas D, Hinchliffe Rod F, Briggs C, </w:t>
      </w:r>
      <w:proofErr w:type="spellStart"/>
      <w:r>
        <w:t>Macdougall</w:t>
      </w:r>
      <w:proofErr w:type="spellEnd"/>
      <w:r>
        <w:t xml:space="preserve"> I, Littlewood T, </w:t>
      </w:r>
      <w:proofErr w:type="spellStart"/>
      <w:r>
        <w:t>Cavill</w:t>
      </w:r>
      <w:proofErr w:type="spellEnd"/>
      <w:r>
        <w:t xml:space="preserve"> I. (2013) Guideline for the laboratory diagnosis of functional iron deficiency. </w:t>
      </w:r>
      <w:r>
        <w:rPr>
          <w:i/>
        </w:rPr>
        <w:t xml:space="preserve">British Journal of Haematology, </w:t>
      </w:r>
      <w:r>
        <w:rPr>
          <w:b/>
        </w:rPr>
        <w:t>161</w:t>
      </w:r>
      <w:r>
        <w:t>, 639-648</w:t>
      </w:r>
    </w:p>
    <w:p w14:paraId="375A81C4" w14:textId="45CF29B1" w:rsidR="0012748A" w:rsidRDefault="0012748A" w:rsidP="00895391">
      <w:pPr>
        <w:pStyle w:val="Heading2"/>
      </w:pPr>
    </w:p>
    <w:p w14:paraId="2EFEA229" w14:textId="0B91DC05" w:rsidR="00895391" w:rsidRPr="0006482B" w:rsidRDefault="00895391" w:rsidP="00895391">
      <w:pPr>
        <w:rPr>
          <w:b/>
        </w:rPr>
      </w:pPr>
      <w:r w:rsidRPr="0006482B">
        <w:rPr>
          <w:b/>
        </w:rPr>
        <w:t>Summary of</w:t>
      </w:r>
      <w:r w:rsidR="004C718C">
        <w:rPr>
          <w:b/>
        </w:rPr>
        <w:t xml:space="preserve"> recommendations</w:t>
      </w:r>
    </w:p>
    <w:p w14:paraId="799FD8BB" w14:textId="77777777" w:rsidR="00895391" w:rsidRDefault="00895391" w:rsidP="00895391">
      <w:pPr>
        <w:numPr>
          <w:ilvl w:val="0"/>
          <w:numId w:val="15"/>
        </w:numPr>
        <w:spacing w:after="200" w:line="276" w:lineRule="auto"/>
      </w:pPr>
      <w:r>
        <w:t>Mean cell volume (MCV) and mean cell haemoglobin (MCH) values are useful at diagnosis and in assessing trends over periods of weeks or months. They have NO use in assessing acute changes in iron availability secondary to therapy with erythropoiesis-stimulating agents (ESAs). (1B)</w:t>
      </w:r>
    </w:p>
    <w:p w14:paraId="044A75F9" w14:textId="06966412" w:rsidR="00895391" w:rsidRDefault="00895391" w:rsidP="00895391">
      <w:pPr>
        <w:numPr>
          <w:ilvl w:val="0"/>
          <w:numId w:val="15"/>
        </w:numPr>
        <w:spacing w:after="200" w:line="276" w:lineRule="auto"/>
      </w:pPr>
      <w:r>
        <w:t xml:space="preserve">A reticulocyte haemoglobin equivalent (Ret-He) value &lt;25 </w:t>
      </w:r>
      <w:proofErr w:type="spellStart"/>
      <w:r>
        <w:t>pg</w:t>
      </w:r>
      <w:proofErr w:type="spellEnd"/>
      <w:r>
        <w:t xml:space="preserve"> is suggestive of classical iron deficiency and </w:t>
      </w:r>
      <w:r w:rsidR="004C718C">
        <w:t>may also predict</w:t>
      </w:r>
      <w:r>
        <w:t xml:space="preserve"> functional iron deficiency in those receiving ESA therapy. (1B)</w:t>
      </w:r>
    </w:p>
    <w:p w14:paraId="379C84A2" w14:textId="77777777" w:rsidR="00895391" w:rsidRDefault="00895391" w:rsidP="00895391">
      <w:pPr>
        <w:numPr>
          <w:ilvl w:val="0"/>
          <w:numId w:val="15"/>
        </w:numPr>
        <w:spacing w:after="200" w:line="276" w:lineRule="auto"/>
      </w:pPr>
      <w:r>
        <w:t>The serum ferritin assay is essential in the assessment and management of patients with all forms of iron-restricted erythropoiesis (IRE) including functional iron deficiency (1B)</w:t>
      </w:r>
    </w:p>
    <w:p w14:paraId="0A991704" w14:textId="77777777" w:rsidR="00895391" w:rsidRDefault="00895391" w:rsidP="00895391">
      <w:pPr>
        <w:numPr>
          <w:ilvl w:val="0"/>
          <w:numId w:val="15"/>
        </w:numPr>
        <w:spacing w:after="200" w:line="276" w:lineRule="auto"/>
      </w:pPr>
      <w:r>
        <w:t>Serum ferritin values &lt;12 ng/mL indicate absent iron stores. (1A)</w:t>
      </w:r>
    </w:p>
    <w:p w14:paraId="2E14B7F7" w14:textId="77777777" w:rsidR="00895391" w:rsidRDefault="00895391" w:rsidP="00895391">
      <w:pPr>
        <w:numPr>
          <w:ilvl w:val="0"/>
          <w:numId w:val="15"/>
        </w:numPr>
        <w:spacing w:after="200" w:line="276" w:lineRule="auto"/>
      </w:pPr>
      <w:r>
        <w:t>The serum ferritin concentration is not useful in predicting ESA responsiveness in cancer-related anaemia.(1A)</w:t>
      </w:r>
    </w:p>
    <w:p w14:paraId="6BE24B74" w14:textId="77777777" w:rsidR="00895391" w:rsidRDefault="00895391" w:rsidP="00895391">
      <w:pPr>
        <w:numPr>
          <w:ilvl w:val="0"/>
          <w:numId w:val="15"/>
        </w:numPr>
        <w:spacing w:after="200" w:line="276" w:lineRule="auto"/>
      </w:pPr>
      <w:r>
        <w:t>The measurement of serum erythropoietin concentration in the setting of anaemia has limited value in the diagnosis of functional iron deficiency.(1A)</w:t>
      </w:r>
    </w:p>
    <w:p w14:paraId="0E0CD685" w14:textId="77777777" w:rsidR="00895391" w:rsidRDefault="00895391" w:rsidP="00895391">
      <w:pPr>
        <w:rPr>
          <w:b/>
          <w:i/>
        </w:rPr>
      </w:pPr>
    </w:p>
    <w:p w14:paraId="08574EF1" w14:textId="59CD3196" w:rsidR="00895391" w:rsidRPr="0006482B" w:rsidRDefault="00895391" w:rsidP="00895391">
      <w:pPr>
        <w:rPr>
          <w:b/>
          <w:i/>
        </w:rPr>
      </w:pPr>
      <w:r w:rsidRPr="0006482B">
        <w:rPr>
          <w:b/>
          <w:i/>
        </w:rPr>
        <w:t>In managing an</w:t>
      </w:r>
      <w:r w:rsidR="004C718C">
        <w:rPr>
          <w:b/>
          <w:i/>
        </w:rPr>
        <w:t>aemia in chronic kidney disease</w:t>
      </w:r>
    </w:p>
    <w:p w14:paraId="187C1C3D" w14:textId="77777777" w:rsidR="00895391" w:rsidRDefault="00895391" w:rsidP="00895391">
      <w:pPr>
        <w:numPr>
          <w:ilvl w:val="0"/>
          <w:numId w:val="15"/>
        </w:numPr>
        <w:spacing w:after="200" w:line="276" w:lineRule="auto"/>
      </w:pPr>
      <w:r>
        <w:t xml:space="preserve">A Ret-He value &lt;30.6 </w:t>
      </w:r>
      <w:proofErr w:type="spellStart"/>
      <w:r>
        <w:t>pg</w:t>
      </w:r>
      <w:proofErr w:type="spellEnd"/>
      <w:r>
        <w:t xml:space="preserve"> appears to have the best predictive value for likelihood of response to intravenous iron therapy in chronic kidney disease (CKD) patients on haemodialysis. (1B)</w:t>
      </w:r>
    </w:p>
    <w:p w14:paraId="6C541BD6" w14:textId="77777777" w:rsidR="00895391" w:rsidRDefault="00895391" w:rsidP="00895391">
      <w:pPr>
        <w:numPr>
          <w:ilvl w:val="0"/>
          <w:numId w:val="15"/>
        </w:numPr>
        <w:spacing w:after="200" w:line="276" w:lineRule="auto"/>
      </w:pPr>
      <w:r>
        <w:t xml:space="preserve">A serum ferritin concentration &lt;100 ng/mL in non-dialysed patients or &lt;200 ng/mL in chronic haemodialysis patients is associated with a HIGH LIKELIHOOD of iron deficiency and a potentially good response intravenous iron therapy. (1A). Values above the suggested cut-offs given above should therefore NOT be used to guide iron therapy. </w:t>
      </w:r>
    </w:p>
    <w:p w14:paraId="71BCCC1D" w14:textId="77777777" w:rsidR="00895391" w:rsidRDefault="00895391" w:rsidP="00895391">
      <w:pPr>
        <w:numPr>
          <w:ilvl w:val="0"/>
          <w:numId w:val="15"/>
        </w:numPr>
        <w:spacing w:after="200" w:line="276" w:lineRule="auto"/>
      </w:pPr>
      <w:r>
        <w:t>In isolation, the transferrin saturation is NOT recommended as a predictor of responsiveness to intravenous iron therapy in patients with CKD.(1A)</w:t>
      </w:r>
    </w:p>
    <w:p w14:paraId="72EF599C" w14:textId="77777777" w:rsidR="00895391" w:rsidRDefault="00895391" w:rsidP="00895391">
      <w:pPr>
        <w:numPr>
          <w:ilvl w:val="0"/>
          <w:numId w:val="15"/>
        </w:numPr>
        <w:spacing w:after="200" w:line="276" w:lineRule="auto"/>
      </w:pPr>
      <w:r>
        <w:t>Transferrin saturation may be used to monitor response to ESA and/or iron deficiency in CKD. When used with either the serum ferritin concentration or Ret-He it may be useful in the diagnosis of functional iron deficiency. (1A)</w:t>
      </w:r>
    </w:p>
    <w:p w14:paraId="634DB739" w14:textId="77777777" w:rsidR="00895391" w:rsidRDefault="00895391" w:rsidP="00895391">
      <w:pPr>
        <w:rPr>
          <w:b/>
          <w:i/>
        </w:rPr>
      </w:pPr>
      <w:r w:rsidRPr="00895391">
        <w:rPr>
          <w:b/>
          <w:i/>
        </w:rPr>
        <w:lastRenderedPageBreak/>
        <w:t xml:space="preserve">In addition, </w:t>
      </w:r>
    </w:p>
    <w:p w14:paraId="1D8E5F6C" w14:textId="77777777" w:rsidR="00895391" w:rsidRPr="00895391" w:rsidRDefault="00895391" w:rsidP="00895391">
      <w:pPr>
        <w:rPr>
          <w:b/>
          <w:i/>
        </w:rPr>
      </w:pPr>
    </w:p>
    <w:p w14:paraId="377AE1CB" w14:textId="77777777" w:rsidR="00895391" w:rsidRDefault="00895391" w:rsidP="00895391">
      <w:r>
        <w:t xml:space="preserve">National Institute for Health and Clinical Excellence (NICE) guidelines (NICE 2015) advise against the use of serum ferritin and transferrin saturation alone (unless thalassaemia or thalassaemia trait is present) to assess need for iron replacement in CKD patients. The Ret-He has improved clinical utility and should be used if available (NICE 2015). For CKD patients on treatment with ESA, iron supplementation should routinely be offered to patients to keep their Ret-He &gt;29 </w:t>
      </w:r>
      <w:proofErr w:type="spellStart"/>
      <w:r>
        <w:t>pg</w:t>
      </w:r>
      <w:proofErr w:type="spellEnd"/>
      <w:r>
        <w:t>, or transferrin saturation &gt;20% unless their serum ferritin is &gt;800 ng/mL, with markers checked every 1-3 months in patients on haemodialysis, or every 3 months in patients who are pre-dialysis or on peritoneal dialysis.</w:t>
      </w:r>
    </w:p>
    <w:p w14:paraId="79EF6F6E" w14:textId="77777777" w:rsidR="00895391" w:rsidRDefault="00895391" w:rsidP="00CB36C0">
      <w:pPr>
        <w:pStyle w:val="BodyText"/>
        <w:spacing w:line="254" w:lineRule="auto"/>
        <w:rPr>
          <w:b/>
        </w:rPr>
      </w:pPr>
    </w:p>
    <w:p w14:paraId="70502F0A" w14:textId="77777777" w:rsidR="00895391" w:rsidRDefault="00895391" w:rsidP="00CB36C0">
      <w:pPr>
        <w:pStyle w:val="BodyText"/>
        <w:spacing w:line="254" w:lineRule="auto"/>
        <w:rPr>
          <w:b/>
        </w:rPr>
      </w:pPr>
    </w:p>
    <w:p w14:paraId="4CA3730E" w14:textId="77777777" w:rsidR="00895391" w:rsidRDefault="00895391" w:rsidP="00895391">
      <w:pPr>
        <w:rPr>
          <w:b/>
        </w:rPr>
      </w:pPr>
      <w:r>
        <w:rPr>
          <w:b/>
        </w:rPr>
        <w:t>References</w:t>
      </w:r>
    </w:p>
    <w:p w14:paraId="3581C8C3" w14:textId="362CE0E4" w:rsidR="00895391" w:rsidRDefault="00895391" w:rsidP="00895391">
      <w:r>
        <w:t xml:space="preserve">Wayne Thomas D, Hinchliffe Rod F, Briggs C, </w:t>
      </w:r>
      <w:proofErr w:type="spellStart"/>
      <w:r>
        <w:t>Macdougall</w:t>
      </w:r>
      <w:proofErr w:type="spellEnd"/>
      <w:r>
        <w:t xml:space="preserve"> I, Littlewood T, </w:t>
      </w:r>
      <w:proofErr w:type="spellStart"/>
      <w:r>
        <w:t>Cavill</w:t>
      </w:r>
      <w:proofErr w:type="spellEnd"/>
      <w:r>
        <w:t xml:space="preserve"> I.  (2013) Guideline for the laboratory diagnosis of functional iron deficiency. </w:t>
      </w:r>
      <w:r>
        <w:rPr>
          <w:i/>
        </w:rPr>
        <w:t xml:space="preserve">British Journal of Haematology, </w:t>
      </w:r>
      <w:r>
        <w:rPr>
          <w:b/>
        </w:rPr>
        <w:t>161</w:t>
      </w:r>
      <w:r>
        <w:t>, 639-648</w:t>
      </w:r>
    </w:p>
    <w:p w14:paraId="72BC5EF8" w14:textId="77777777" w:rsidR="00895391" w:rsidRDefault="00895391" w:rsidP="00895391"/>
    <w:p w14:paraId="4EFFB12A" w14:textId="77777777" w:rsidR="00895391" w:rsidRDefault="00895391" w:rsidP="00895391">
      <w:proofErr w:type="spellStart"/>
      <w:r>
        <w:t>Cullis</w:t>
      </w:r>
      <w:proofErr w:type="spellEnd"/>
      <w:r>
        <w:t xml:space="preserve"> J, Fitzsimons E, Griffiths W, </w:t>
      </w:r>
      <w:proofErr w:type="spellStart"/>
      <w:r>
        <w:t>Tsochatzis</w:t>
      </w:r>
      <w:proofErr w:type="spellEnd"/>
      <w:r>
        <w:t xml:space="preserve"> E, Wayne Thomas D. Investigation and management of a raised serum ferritin (2018).</w:t>
      </w:r>
      <w:r>
        <w:rPr>
          <w:i/>
        </w:rPr>
        <w:t xml:space="preserve"> British Journal of Haematology, </w:t>
      </w:r>
      <w:r>
        <w:rPr>
          <w:b/>
        </w:rPr>
        <w:t>181</w:t>
      </w:r>
      <w:r>
        <w:t>, 331-340</w:t>
      </w:r>
    </w:p>
    <w:p w14:paraId="3F944F9F" w14:textId="77777777" w:rsidR="00895391" w:rsidRDefault="00895391" w:rsidP="00895391"/>
    <w:p w14:paraId="423C674F" w14:textId="77777777" w:rsidR="00895391" w:rsidRDefault="00895391" w:rsidP="00895391">
      <w:r w:rsidRPr="001B1C39">
        <w:t>Chronic kidney disease</w:t>
      </w:r>
      <w:r>
        <w:t>: managing anaemia (2015). NICE guidelines (NG8)</w:t>
      </w:r>
    </w:p>
    <w:p w14:paraId="37BF6699" w14:textId="77777777" w:rsidR="00895391" w:rsidRDefault="00895391" w:rsidP="00895391"/>
    <w:p w14:paraId="22540D61" w14:textId="77777777" w:rsidR="00895391" w:rsidRDefault="00895391" w:rsidP="00895391">
      <w:r>
        <w:t xml:space="preserve">Reticulocyte Haemoglobin Content (RET-He): A parameter with well-established clinical value (2013). </w:t>
      </w:r>
      <w:proofErr w:type="spellStart"/>
      <w:r>
        <w:t>Sysmex</w:t>
      </w:r>
      <w:proofErr w:type="spellEnd"/>
      <w:r>
        <w:t xml:space="preserve"> America White Paper</w:t>
      </w:r>
    </w:p>
    <w:p w14:paraId="44CFBB45" w14:textId="77777777" w:rsidR="00895391" w:rsidRDefault="00895391" w:rsidP="00895391"/>
    <w:p w14:paraId="0D920740" w14:textId="77777777" w:rsidR="00895391" w:rsidRPr="001B1C39" w:rsidRDefault="00895391" w:rsidP="00895391">
      <w:proofErr w:type="gramStart"/>
      <w:r>
        <w:t>The importance of reticulocyte detection (2016).</w:t>
      </w:r>
      <w:proofErr w:type="gramEnd"/>
      <w:r>
        <w:t xml:space="preserve">  </w:t>
      </w:r>
      <w:proofErr w:type="spellStart"/>
      <w:r>
        <w:t>Sysmex</w:t>
      </w:r>
      <w:proofErr w:type="spellEnd"/>
      <w:r>
        <w:t xml:space="preserve"> Educational Enhancement and Development (SEED Haematology)</w:t>
      </w:r>
    </w:p>
    <w:p w14:paraId="0B721F8C" w14:textId="77777777" w:rsidR="00895391" w:rsidRDefault="00895391" w:rsidP="00CB36C0">
      <w:pPr>
        <w:pStyle w:val="BodyText"/>
        <w:spacing w:line="254" w:lineRule="auto"/>
        <w:rPr>
          <w:b/>
        </w:rPr>
      </w:pPr>
    </w:p>
    <w:p w14:paraId="08F04A30" w14:textId="77777777" w:rsidR="00795E99" w:rsidRDefault="00795E99" w:rsidP="00CB36C0">
      <w:pPr>
        <w:pStyle w:val="BodyText"/>
        <w:spacing w:line="254" w:lineRule="auto"/>
        <w:rPr>
          <w:b/>
        </w:rPr>
      </w:pPr>
    </w:p>
    <w:p w14:paraId="79B5672A" w14:textId="77777777" w:rsidR="00795E99" w:rsidRDefault="00795E99" w:rsidP="00CB36C0">
      <w:pPr>
        <w:pStyle w:val="BodyText"/>
        <w:spacing w:line="254" w:lineRule="auto"/>
        <w:rPr>
          <w:b/>
        </w:rPr>
      </w:pPr>
      <w:r>
        <w:rPr>
          <w:b/>
        </w:rPr>
        <w:t>For any further information please discuss with haematology laboratory (Ex.4728) or haematology clinical staff</w:t>
      </w:r>
    </w:p>
    <w:p w14:paraId="4AE3318A" w14:textId="77777777" w:rsidR="00795E99" w:rsidRDefault="00795E99" w:rsidP="00CB36C0">
      <w:pPr>
        <w:pStyle w:val="BodyText"/>
        <w:spacing w:line="254" w:lineRule="auto"/>
        <w:rPr>
          <w:b/>
        </w:rPr>
      </w:pPr>
    </w:p>
    <w:p w14:paraId="055AB8C1" w14:textId="77777777" w:rsidR="00795E99" w:rsidRDefault="00795E99" w:rsidP="00CB36C0">
      <w:pPr>
        <w:pStyle w:val="BodyText"/>
        <w:spacing w:line="254" w:lineRule="auto"/>
        <w:rPr>
          <w:b/>
        </w:rPr>
      </w:pPr>
    </w:p>
    <w:p w14:paraId="313C25CA" w14:textId="046E8920" w:rsidR="00F25BC3" w:rsidRDefault="005A4538" w:rsidP="00E70959">
      <w:pPr>
        <w:pStyle w:val="BodyText"/>
      </w:pPr>
      <w:r>
        <w:rPr>
          <w:noProof/>
        </w:rPr>
        <mc:AlternateContent>
          <mc:Choice Requires="wps">
            <w:drawing>
              <wp:inline distT="0" distB="0" distL="0" distR="0" wp14:anchorId="2B6EEBE2" wp14:editId="73F0BB14">
                <wp:extent cx="5257165" cy="1116965"/>
                <wp:effectExtent l="0" t="0" r="635" b="635"/>
                <wp:docPr id="30" name="Rounded Rectangle 30"/>
                <wp:cNvGraphicFramePr/>
                <a:graphic xmlns:a="http://schemas.openxmlformats.org/drawingml/2006/main">
                  <a:graphicData uri="http://schemas.microsoft.com/office/word/2010/wordprocessingShape">
                    <wps:wsp>
                      <wps:cNvSpPr/>
                      <wps:spPr>
                        <a:xfrm>
                          <a:off x="0" y="0"/>
                          <a:ext cx="5257165" cy="1116965"/>
                        </a:xfrm>
                        <a:prstGeom prst="roundRect">
                          <a:avLst>
                            <a:gd name="adj" fmla="val 11040"/>
                          </a:avLst>
                        </a:prstGeom>
                        <a:solidFill>
                          <a:srgbClr val="00A4B8">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FC7D1" w14:textId="77777777" w:rsidR="005A4538" w:rsidRPr="00F8342F" w:rsidRDefault="005A4538" w:rsidP="0086643F">
                            <w:pPr>
                              <w:pStyle w:val="BoxText"/>
                              <w:spacing w:line="254" w:lineRule="auto"/>
                            </w:pPr>
                            <w:r>
                              <w:t>Royal United Hospitals Bath NHS Foundation Trust</w:t>
                            </w:r>
                            <w:r>
                              <w:br/>
                              <w:t>Combe Park, Bath BA1 3NG</w:t>
                            </w:r>
                            <w:r>
                              <w:br/>
                              <w:t xml:space="preserve">01225 </w:t>
                            </w:r>
                            <w:proofErr w:type="gramStart"/>
                            <w:r>
                              <w:t xml:space="preserve">428331  </w:t>
                            </w:r>
                            <w:proofErr w:type="gramEnd"/>
                            <w:hyperlink r:id="rId14" w:history="1">
                              <w:r w:rsidRPr="00FA7CC1">
                                <w:rPr>
                                  <w:rStyle w:val="Hyperlink"/>
                                </w:rPr>
                                <w:t>www.ruh.nhs.uk</w:t>
                              </w:r>
                            </w:hyperlink>
                          </w:p>
                        </w:txbxContent>
                      </wps:txbx>
                      <wps:bodyPr rot="0" spcFirstLastPara="0" vertOverflow="overflow" horzOverflow="overflow" vert="horz" wrap="square" lIns="108000" tIns="90000" rIns="108000" bIns="72000" numCol="1" spcCol="0" rtlCol="0" fromWordArt="0" anchor="t" anchorCtr="0" forceAA="0" compatLnSpc="1">
                        <a:prstTxWarp prst="textNoShape">
                          <a:avLst/>
                        </a:prstTxWarp>
                        <a:noAutofit/>
                      </wps:bodyPr>
                    </wps:wsp>
                  </a:graphicData>
                </a:graphic>
              </wp:inline>
            </w:drawing>
          </mc:Choice>
          <mc:Fallback>
            <w:pict>
              <v:roundrect id="Rounded Rectangle 30" o:spid="_x0000_s1026" style="width:413.95pt;height:87.95pt;visibility:visible;mso-wrap-style:square;mso-left-percent:-10001;mso-top-percent:-10001;mso-position-horizontal:absolute;mso-position-horizontal-relative:char;mso-position-vertical:absolute;mso-position-vertical-relative:line;mso-left-percent:-10001;mso-top-percent:-10001;v-text-anchor:top" arcsize="7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" fillcolor="#00a4b8" stroked="f" strokeweight="2pt">
                <v:fill opacity="6682f"/>
                <v:textbox inset="3mm,2.5mm,3mm,2mm">
                  <w:txbxContent>
                    <w:p w14:paraId="2D9FC7D1" w14:textId="77777777" w:rsidR="005A4538" w:rsidRPr="00F8342F" w:rsidRDefault="005A4538" w:rsidP="0086643F">
                      <w:pPr>
                        <w:pStyle w:val="BoxText"/>
                        <w:spacing w:line="254" w:lineRule="auto"/>
                      </w:pPr>
                      <w:r>
                        <w:t>Royal United Hospitals Bath NHS Foundation Trust</w:t>
                      </w:r>
                      <w:r>
                        <w:br/>
                        <w:t>Combe Park, Bath BA1 3NG</w:t>
                      </w:r>
                      <w:r>
                        <w:br/>
                        <w:t xml:space="preserve">01225 </w:t>
                      </w:r>
                      <w:proofErr w:type="gramStart"/>
                      <w:r>
                        <w:t xml:space="preserve">428331  </w:t>
                      </w:r>
                      <w:proofErr w:type="gramEnd"/>
                      <w:hyperlink r:id="rId15" w:history="1">
                        <w:r w:rsidRPr="00FA7CC1">
                          <w:rPr>
                            <w:rStyle w:val="Hyperlink"/>
                          </w:rPr>
                          <w:t>www.ruh.nhs.uk</w:t>
                        </w:r>
                      </w:hyperlink>
                    </w:p>
                  </w:txbxContent>
                </v:textbox>
                <w10:anchorlock/>
              </v:roundrect>
            </w:pict>
          </mc:Fallback>
        </mc:AlternateContent>
      </w:r>
    </w:p>
    <w:sectPr w:rsidR="00F25BC3" w:rsidSect="00F90F43">
      <w:type w:val="continuous"/>
      <w:pgSz w:w="11906" w:h="16838" w:code="9"/>
      <w:pgMar w:top="1701" w:right="1559" w:bottom="1418" w:left="1559" w:header="510" w:footer="312" w:gutter="0"/>
      <w:cols w:space="851"/>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05DE6" w14:textId="77777777" w:rsidR="00CB370A" w:rsidRDefault="00CB370A" w:rsidP="0018266F">
      <w:pPr>
        <w:spacing w:line="240" w:lineRule="auto"/>
      </w:pPr>
      <w:r>
        <w:separator/>
      </w:r>
    </w:p>
  </w:endnote>
  <w:endnote w:type="continuationSeparator" w:id="0">
    <w:p w14:paraId="13CA21DB" w14:textId="77777777" w:rsidR="00CB370A" w:rsidRDefault="00CB370A" w:rsidP="001826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5AC165B3-A679-48AD-A840-7BCA4D154A19}"/>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21887" w14:textId="53146ABF" w:rsidR="00AA4FA9" w:rsidRDefault="004C3978">
    <w:pPr>
      <w:pStyle w:val="Footer"/>
    </w:pPr>
    <w:r>
      <w:rPr>
        <w:noProof/>
      </w:rPr>
      <w:drawing>
        <wp:anchor distT="0" distB="0" distL="114300" distR="114300" simplePos="0" relativeHeight="251664384" behindDoc="1" locked="1" layoutInCell="1" allowOverlap="1" wp14:anchorId="3967929A" wp14:editId="74DD68A6">
          <wp:simplePos x="0" y="0"/>
          <wp:positionH relativeFrom="page">
            <wp:posOffset>2540</wp:posOffset>
          </wp:positionH>
          <wp:positionV relativeFrom="page">
            <wp:posOffset>9292590</wp:posOffset>
          </wp:positionV>
          <wp:extent cx="7553960" cy="1385570"/>
          <wp:effectExtent l="0" t="0" r="889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4_Blue_Footer.jpg"/>
                  <pic:cNvPicPr/>
                </pic:nvPicPr>
                <pic:blipFill>
                  <a:blip r:embed="rId1"/>
                  <a:stretch>
                    <a:fillRect/>
                  </a:stretch>
                </pic:blipFill>
                <pic:spPr>
                  <a:xfrm>
                    <a:off x="0" y="0"/>
                    <a:ext cx="7553960" cy="1385570"/>
                  </a:xfrm>
                  <a:prstGeom prst="rect">
                    <a:avLst/>
                  </a:prstGeom>
                </pic:spPr>
              </pic:pic>
            </a:graphicData>
          </a:graphic>
          <wp14:sizeRelH relativeFrom="margin">
            <wp14:pctWidth>0</wp14:pctWidth>
          </wp14:sizeRelH>
          <wp14:sizeRelV relativeFrom="margin">
            <wp14:pctHeight>0</wp14:pctHeight>
          </wp14:sizeRelV>
        </wp:anchor>
      </w:drawing>
    </w:r>
    <w:sdt>
      <w:sdtPr>
        <w:rPr>
          <w:sz w:val="20"/>
        </w:rPr>
        <w:alias w:val="Comments"/>
        <w:tag w:val=""/>
        <w:id w:val="-1059019212"/>
        <w:dataBinding w:prefixMappings="xmlns:ns0='http://purl.org/dc/elements/1.1/' xmlns:ns1='http://schemas.openxmlformats.org/package/2006/metadata/core-properties' " w:xpath="/ns1:coreProperties[1]/ns0:description[1]" w:storeItemID="{6C3C8BC8-F283-45AE-878A-BAB7291924A1}"/>
        <w:text w:multiLine="1"/>
      </w:sdtPr>
      <w:sdtEndPr/>
      <w:sdtContent>
        <w:r w:rsidR="00E70959" w:rsidRPr="00900D94">
          <w:rPr>
            <w:sz w:val="20"/>
          </w:rPr>
          <w:t xml:space="preserve">Date of publication </w:t>
        </w:r>
        <w:r w:rsidR="00795E99">
          <w:rPr>
            <w:sz w:val="20"/>
          </w:rPr>
          <w:t>11</w:t>
        </w:r>
        <w:r w:rsidR="00E70959" w:rsidRPr="00900D94">
          <w:rPr>
            <w:sz w:val="20"/>
          </w:rPr>
          <w:t xml:space="preserve"> </w:t>
        </w:r>
        <w:r w:rsidR="00795E99">
          <w:rPr>
            <w:sz w:val="20"/>
          </w:rPr>
          <w:t>October 2018</w:t>
        </w:r>
        <w:r w:rsidR="00E70959" w:rsidRPr="00900D94">
          <w:rPr>
            <w:sz w:val="20"/>
          </w:rPr>
          <w:br/>
          <w:t xml:space="preserve">Ref: </w:t>
        </w:r>
        <w:r w:rsidR="00E70959" w:rsidRPr="00900D94">
          <w:rPr>
            <w:rFonts w:asciiTheme="minorHAnsi" w:eastAsiaTheme="minorEastAsia" w:hAnsiTheme="minorHAnsi" w:cstheme="minorBidi"/>
            <w:sz w:val="20"/>
            <w:lang w:eastAsia="ja-JP"/>
          </w:rPr>
          <w:t>RUH ABC/567 © Royal United Hospitals Bath NHS Foundation Trust</w:t>
        </w:r>
      </w:sdtContent>
    </w:sdt>
    <w:r w:rsidR="00904B18">
      <w:tab/>
    </w:r>
    <w:r w:rsidR="006149E9">
      <w:t xml:space="preserve">Page </w:t>
    </w:r>
    <w:r w:rsidR="00F25BC3">
      <w:fldChar w:fldCharType="begin"/>
    </w:r>
    <w:r w:rsidR="00F25BC3">
      <w:instrText xml:space="preserve"> PAGE   \* MERGEFORMAT </w:instrText>
    </w:r>
    <w:r w:rsidR="00F25BC3">
      <w:fldChar w:fldCharType="separate"/>
    </w:r>
    <w:r w:rsidR="008F75F6">
      <w:rPr>
        <w:noProof/>
      </w:rPr>
      <w:t>3</w:t>
    </w:r>
    <w:r w:rsidR="00F25BC3">
      <w:fldChar w:fldCharType="end"/>
    </w:r>
    <w:r w:rsidR="006149E9">
      <w:t xml:space="preserve"> of </w:t>
    </w:r>
    <w:r w:rsidR="00CB370A">
      <w:fldChar w:fldCharType="begin"/>
    </w:r>
    <w:r w:rsidR="00CB370A">
      <w:instrText xml:space="preserve"> NUMPAGES  \* Arabic  \* MERGEFORMAT </w:instrText>
    </w:r>
    <w:r w:rsidR="00CB370A">
      <w:fldChar w:fldCharType="separate"/>
    </w:r>
    <w:r w:rsidR="008F75F6">
      <w:rPr>
        <w:noProof/>
      </w:rPr>
      <w:t>3</w:t>
    </w:r>
    <w:r w:rsidR="00CB37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7BC3A7" w14:textId="77777777" w:rsidR="00CB370A" w:rsidRDefault="00CB370A" w:rsidP="0018266F">
      <w:pPr>
        <w:spacing w:line="240" w:lineRule="auto"/>
      </w:pPr>
      <w:r>
        <w:separator/>
      </w:r>
    </w:p>
  </w:footnote>
  <w:footnote w:type="continuationSeparator" w:id="0">
    <w:p w14:paraId="3A17C9F8" w14:textId="77777777" w:rsidR="00CB370A" w:rsidRDefault="00CB370A" w:rsidP="001826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D564B" w14:textId="4A70EAE5" w:rsidR="00AA4FA9" w:rsidRPr="00795E99" w:rsidRDefault="0086643F">
    <w:pPr>
      <w:pStyle w:val="Header"/>
    </w:pPr>
    <w:r>
      <w:rPr>
        <w:noProof/>
      </w:rPr>
      <w:drawing>
        <wp:anchor distT="0" distB="0" distL="114300" distR="114300" simplePos="0" relativeHeight="251666432" behindDoc="1" locked="0" layoutInCell="1" allowOverlap="1" wp14:anchorId="57856838" wp14:editId="5A8B156E">
          <wp:simplePos x="0" y="0"/>
          <wp:positionH relativeFrom="column">
            <wp:posOffset>-827405</wp:posOffset>
          </wp:positionH>
          <wp:positionV relativeFrom="paragraph">
            <wp:posOffset>-322580</wp:posOffset>
          </wp:positionV>
          <wp:extent cx="7236000" cy="2082205"/>
          <wp:effectExtent l="0" t="0" r="3175" b="0"/>
          <wp:wrapNone/>
          <wp:docPr id="24" name="Picture 24" descr="C:\Users\sutersp\Desktop\SCRATCH DOCS\A4 Page2 Header T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tersp\Desktop\SCRATCH DOCS\A4 Page2 Header Th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000" cy="208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E99">
      <w:t xml:space="preserve">The </w:t>
    </w:r>
    <w:r w:rsidR="00895391">
      <w:t>Ret</w:t>
    </w:r>
    <w:r w:rsidR="00795E99">
      <w:t>iculocyte Haemoglobin equivalent (Ret-H</w:t>
    </w:r>
    <w:r w:rsidR="00795E99">
      <w:rPr>
        <w:vertAlign w:val="subscript"/>
      </w:rPr>
      <w:t>e</w:t>
    </w:r>
    <w:r w:rsidR="00795E99">
      <w:t>) Parameter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F6C8E" w14:textId="19C3085A" w:rsidR="004C37E2" w:rsidRDefault="00F1475D" w:rsidP="004C37E2">
    <w:pPr>
      <w:pStyle w:val="Header"/>
    </w:pPr>
    <w:r>
      <w:rPr>
        <w:noProof/>
      </w:rPr>
      <w:drawing>
        <wp:anchor distT="0" distB="0" distL="114300" distR="114300" simplePos="0" relativeHeight="251665408" behindDoc="0" locked="0" layoutInCell="1" allowOverlap="1" wp14:anchorId="0C6A5C0F" wp14:editId="12DA3BE4">
          <wp:simplePos x="0" y="0"/>
          <wp:positionH relativeFrom="column">
            <wp:posOffset>3248660</wp:posOffset>
          </wp:positionH>
          <wp:positionV relativeFrom="paragraph">
            <wp:posOffset>-333375</wp:posOffset>
          </wp:positionV>
          <wp:extent cx="3171825" cy="1424657"/>
          <wp:effectExtent l="0" t="0" r="0" b="4445"/>
          <wp:wrapNone/>
          <wp:docPr id="26" name="Picture 2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175276" cy="142620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4CDF12"/>
    <w:lvl w:ilvl="0">
      <w:start w:val="1"/>
      <w:numFmt w:val="decimal"/>
      <w:lvlText w:val="%1."/>
      <w:lvlJc w:val="left"/>
      <w:pPr>
        <w:tabs>
          <w:tab w:val="num" w:pos="1492"/>
        </w:tabs>
        <w:ind w:left="1492" w:hanging="360"/>
      </w:pPr>
    </w:lvl>
  </w:abstractNum>
  <w:abstractNum w:abstractNumId="1">
    <w:nsid w:val="FFFFFF7D"/>
    <w:multiLevelType w:val="singleLevel"/>
    <w:tmpl w:val="A0383152"/>
    <w:lvl w:ilvl="0">
      <w:start w:val="1"/>
      <w:numFmt w:val="decimal"/>
      <w:lvlText w:val="%1."/>
      <w:lvlJc w:val="left"/>
      <w:pPr>
        <w:tabs>
          <w:tab w:val="num" w:pos="1209"/>
        </w:tabs>
        <w:ind w:left="1209" w:hanging="360"/>
      </w:pPr>
    </w:lvl>
  </w:abstractNum>
  <w:abstractNum w:abstractNumId="2">
    <w:nsid w:val="FFFFFF7E"/>
    <w:multiLevelType w:val="singleLevel"/>
    <w:tmpl w:val="4522B890"/>
    <w:lvl w:ilvl="0">
      <w:start w:val="1"/>
      <w:numFmt w:val="decimal"/>
      <w:lvlText w:val="%1."/>
      <w:lvlJc w:val="left"/>
      <w:pPr>
        <w:tabs>
          <w:tab w:val="num" w:pos="926"/>
        </w:tabs>
        <w:ind w:left="926" w:hanging="360"/>
      </w:pPr>
    </w:lvl>
  </w:abstractNum>
  <w:abstractNum w:abstractNumId="3">
    <w:nsid w:val="FFFFFF7F"/>
    <w:multiLevelType w:val="singleLevel"/>
    <w:tmpl w:val="366070D0"/>
    <w:lvl w:ilvl="0">
      <w:start w:val="1"/>
      <w:numFmt w:val="decimal"/>
      <w:lvlText w:val="%1."/>
      <w:lvlJc w:val="left"/>
      <w:pPr>
        <w:tabs>
          <w:tab w:val="num" w:pos="643"/>
        </w:tabs>
        <w:ind w:left="643" w:hanging="360"/>
      </w:pPr>
    </w:lvl>
  </w:abstractNum>
  <w:abstractNum w:abstractNumId="4">
    <w:nsid w:val="FFFFFF80"/>
    <w:multiLevelType w:val="singleLevel"/>
    <w:tmpl w:val="444A23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D74CE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CA43E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756D7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500DB4A"/>
    <w:lvl w:ilvl="0">
      <w:start w:val="1"/>
      <w:numFmt w:val="decimal"/>
      <w:lvlText w:val="%1."/>
      <w:lvlJc w:val="left"/>
      <w:pPr>
        <w:tabs>
          <w:tab w:val="num" w:pos="360"/>
        </w:tabs>
        <w:ind w:left="360" w:hanging="360"/>
      </w:pPr>
    </w:lvl>
  </w:abstractNum>
  <w:abstractNum w:abstractNumId="9">
    <w:nsid w:val="FFFFFF89"/>
    <w:multiLevelType w:val="singleLevel"/>
    <w:tmpl w:val="77661D32"/>
    <w:lvl w:ilvl="0">
      <w:start w:val="1"/>
      <w:numFmt w:val="bullet"/>
      <w:lvlText w:val=""/>
      <w:lvlJc w:val="left"/>
      <w:pPr>
        <w:tabs>
          <w:tab w:val="num" w:pos="360"/>
        </w:tabs>
        <w:ind w:left="360" w:hanging="360"/>
      </w:pPr>
      <w:rPr>
        <w:rFonts w:ascii="Symbol" w:hAnsi="Symbol" w:hint="default"/>
      </w:rPr>
    </w:lvl>
  </w:abstractNum>
  <w:abstractNum w:abstractNumId="10">
    <w:nsid w:val="2D1834B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C1561CB"/>
    <w:multiLevelType w:val="multilevel"/>
    <w:tmpl w:val="CFA44626"/>
    <w:styleLink w:val="NHSRUHBulletList"/>
    <w:lvl w:ilvl="0">
      <w:start w:val="1"/>
      <w:numFmt w:val="bullet"/>
      <w:pStyle w:val="BulletLevel1"/>
      <w:lvlText w:val="•"/>
      <w:lvlJc w:val="left"/>
      <w:pPr>
        <w:tabs>
          <w:tab w:val="num" w:pos="340"/>
        </w:tabs>
        <w:ind w:left="340" w:hanging="340"/>
      </w:pPr>
      <w:rPr>
        <w:rFonts w:ascii="Arial" w:hAnsi="Arial" w:hint="default"/>
        <w:color w:val="00A499" w:themeColor="accent1"/>
      </w:rPr>
    </w:lvl>
    <w:lvl w:ilvl="1">
      <w:start w:val="1"/>
      <w:numFmt w:val="bullet"/>
      <w:pStyle w:val="BulletLevel2"/>
      <w:lvlText w:val="–"/>
      <w:lvlJc w:val="left"/>
      <w:pPr>
        <w:tabs>
          <w:tab w:val="num" w:pos="680"/>
        </w:tabs>
        <w:ind w:left="680" w:hanging="34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19734D9"/>
    <w:multiLevelType w:val="hybridMultilevel"/>
    <w:tmpl w:val="FA68FD02"/>
    <w:lvl w:ilvl="0" w:tplc="7BCA5DE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F5332B"/>
    <w:multiLevelType w:val="hybridMultilevel"/>
    <w:tmpl w:val="7A823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3A8"/>
    <w:rsid w:val="0000324F"/>
    <w:rsid w:val="000140F3"/>
    <w:rsid w:val="0009594D"/>
    <w:rsid w:val="0012748A"/>
    <w:rsid w:val="00167F29"/>
    <w:rsid w:val="0018266F"/>
    <w:rsid w:val="001A564B"/>
    <w:rsid w:val="001D3D67"/>
    <w:rsid w:val="001D4003"/>
    <w:rsid w:val="00253060"/>
    <w:rsid w:val="00254B60"/>
    <w:rsid w:val="003100C3"/>
    <w:rsid w:val="00315CDC"/>
    <w:rsid w:val="00340727"/>
    <w:rsid w:val="00353D5C"/>
    <w:rsid w:val="00377D81"/>
    <w:rsid w:val="00383347"/>
    <w:rsid w:val="003C5184"/>
    <w:rsid w:val="003F473B"/>
    <w:rsid w:val="00410B78"/>
    <w:rsid w:val="0041616E"/>
    <w:rsid w:val="004B1183"/>
    <w:rsid w:val="004C37E2"/>
    <w:rsid w:val="004C3978"/>
    <w:rsid w:val="004C718C"/>
    <w:rsid w:val="0056642B"/>
    <w:rsid w:val="00587E4D"/>
    <w:rsid w:val="00595A4E"/>
    <w:rsid w:val="005A4538"/>
    <w:rsid w:val="005A7AEE"/>
    <w:rsid w:val="005C0EF9"/>
    <w:rsid w:val="0060333F"/>
    <w:rsid w:val="006149E9"/>
    <w:rsid w:val="00634074"/>
    <w:rsid w:val="00652819"/>
    <w:rsid w:val="00680B98"/>
    <w:rsid w:val="00685E33"/>
    <w:rsid w:val="006C11FA"/>
    <w:rsid w:val="006F3D6A"/>
    <w:rsid w:val="00795E99"/>
    <w:rsid w:val="007B58A2"/>
    <w:rsid w:val="00826228"/>
    <w:rsid w:val="00826400"/>
    <w:rsid w:val="0086643F"/>
    <w:rsid w:val="00887660"/>
    <w:rsid w:val="00895391"/>
    <w:rsid w:val="008B64C0"/>
    <w:rsid w:val="008D38ED"/>
    <w:rsid w:val="008F75F6"/>
    <w:rsid w:val="00900D94"/>
    <w:rsid w:val="00904B18"/>
    <w:rsid w:val="00920B64"/>
    <w:rsid w:val="00953E16"/>
    <w:rsid w:val="00976B1D"/>
    <w:rsid w:val="00984A2E"/>
    <w:rsid w:val="00A02B5E"/>
    <w:rsid w:val="00A02CCB"/>
    <w:rsid w:val="00A02FB5"/>
    <w:rsid w:val="00A64092"/>
    <w:rsid w:val="00AA3251"/>
    <w:rsid w:val="00AA4FA9"/>
    <w:rsid w:val="00AE59AC"/>
    <w:rsid w:val="00B67B55"/>
    <w:rsid w:val="00BA3B31"/>
    <w:rsid w:val="00BB043D"/>
    <w:rsid w:val="00BC3011"/>
    <w:rsid w:val="00BE2CED"/>
    <w:rsid w:val="00C01364"/>
    <w:rsid w:val="00C103A8"/>
    <w:rsid w:val="00C11F4A"/>
    <w:rsid w:val="00C2372B"/>
    <w:rsid w:val="00C36853"/>
    <w:rsid w:val="00C62516"/>
    <w:rsid w:val="00C8612E"/>
    <w:rsid w:val="00CB36C0"/>
    <w:rsid w:val="00CB370A"/>
    <w:rsid w:val="00D42316"/>
    <w:rsid w:val="00D61750"/>
    <w:rsid w:val="00D87E94"/>
    <w:rsid w:val="00D87EC2"/>
    <w:rsid w:val="00DD7161"/>
    <w:rsid w:val="00E1362A"/>
    <w:rsid w:val="00E34AC1"/>
    <w:rsid w:val="00E502C8"/>
    <w:rsid w:val="00E65BDE"/>
    <w:rsid w:val="00E70959"/>
    <w:rsid w:val="00E72F09"/>
    <w:rsid w:val="00EA6880"/>
    <w:rsid w:val="00ED0F42"/>
    <w:rsid w:val="00ED70D7"/>
    <w:rsid w:val="00EF6BF5"/>
    <w:rsid w:val="00F10A72"/>
    <w:rsid w:val="00F1475D"/>
    <w:rsid w:val="00F25BC3"/>
    <w:rsid w:val="00F57601"/>
    <w:rsid w:val="00F72149"/>
    <w:rsid w:val="00F8342F"/>
    <w:rsid w:val="00F90F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48C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853"/>
    <w:pPr>
      <w:spacing w:line="259" w:lineRule="auto"/>
    </w:pPr>
    <w:rPr>
      <w:sz w:val="24"/>
    </w:rPr>
  </w:style>
  <w:style w:type="paragraph" w:styleId="Heading1">
    <w:name w:val="heading 1"/>
    <w:basedOn w:val="Normal"/>
    <w:next w:val="Normal"/>
    <w:link w:val="Heading1Char"/>
    <w:qFormat/>
    <w:rsid w:val="0060333F"/>
    <w:pPr>
      <w:keepNext/>
      <w:keepLines/>
      <w:spacing w:after="240" w:line="216" w:lineRule="auto"/>
      <w:outlineLvl w:val="0"/>
    </w:pPr>
    <w:rPr>
      <w:rFonts w:asciiTheme="majorHAnsi" w:eastAsiaTheme="majorEastAsia" w:hAnsiTheme="majorHAnsi" w:cstheme="majorBidi"/>
      <w:bCs/>
      <w:color w:val="00A499" w:themeColor="accent1"/>
      <w:sz w:val="40"/>
      <w:szCs w:val="28"/>
    </w:rPr>
  </w:style>
  <w:style w:type="paragraph" w:styleId="Heading2">
    <w:name w:val="heading 2"/>
    <w:basedOn w:val="Normal"/>
    <w:next w:val="BodyText"/>
    <w:link w:val="Heading2Char"/>
    <w:unhideWhenUsed/>
    <w:qFormat/>
    <w:rsid w:val="0086643F"/>
    <w:pPr>
      <w:keepNext/>
      <w:keepLines/>
      <w:spacing w:before="320" w:after="120" w:line="252" w:lineRule="auto"/>
      <w:outlineLvl w:val="1"/>
    </w:pPr>
    <w:rPr>
      <w:rFonts w:asciiTheme="majorHAnsi" w:eastAsiaTheme="majorEastAsia" w:hAnsiTheme="majorHAnsi" w:cstheme="majorBidi"/>
      <w:b/>
      <w:bCs/>
      <w:color w:val="00A499"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5C0EF9"/>
    <w:rPr>
      <w:color w:val="00A499" w:themeColor="hyperlink"/>
      <w:u w:val="single"/>
    </w:rPr>
  </w:style>
  <w:style w:type="paragraph" w:styleId="BodyText">
    <w:name w:val="Body Text"/>
    <w:basedOn w:val="Normal"/>
    <w:link w:val="BodyTextChar"/>
    <w:unhideWhenUsed/>
    <w:rsid w:val="00A02B5E"/>
    <w:pPr>
      <w:spacing w:after="180"/>
    </w:pPr>
  </w:style>
  <w:style w:type="character" w:customStyle="1" w:styleId="BodyTextChar">
    <w:name w:val="Body Text Char"/>
    <w:basedOn w:val="DefaultParagraphFont"/>
    <w:link w:val="BodyText"/>
    <w:rsid w:val="00A02B5E"/>
    <w:rPr>
      <w:sz w:val="24"/>
    </w:rPr>
  </w:style>
  <w:style w:type="paragraph" w:styleId="Header">
    <w:name w:val="header"/>
    <w:basedOn w:val="Normal"/>
    <w:link w:val="HeaderChar"/>
    <w:unhideWhenUsed/>
    <w:rsid w:val="006149E9"/>
    <w:pPr>
      <w:spacing w:line="240" w:lineRule="auto"/>
      <w:ind w:left="-851" w:right="-851"/>
    </w:pPr>
    <w:rPr>
      <w:color w:val="FFFFFF" w:themeColor="background1"/>
      <w:sz w:val="22"/>
    </w:rPr>
  </w:style>
  <w:style w:type="character" w:customStyle="1" w:styleId="HeaderChar">
    <w:name w:val="Header Char"/>
    <w:basedOn w:val="DefaultParagraphFont"/>
    <w:link w:val="Header"/>
    <w:rsid w:val="006149E9"/>
    <w:rPr>
      <w:color w:val="FFFFFF" w:themeColor="background1"/>
      <w:sz w:val="22"/>
    </w:rPr>
  </w:style>
  <w:style w:type="paragraph" w:styleId="Footer">
    <w:name w:val="footer"/>
    <w:basedOn w:val="Normal"/>
    <w:link w:val="FooterChar"/>
    <w:uiPriority w:val="99"/>
    <w:unhideWhenUsed/>
    <w:rsid w:val="006149E9"/>
    <w:pPr>
      <w:tabs>
        <w:tab w:val="right" w:pos="9639"/>
      </w:tabs>
      <w:spacing w:line="240" w:lineRule="auto"/>
      <w:ind w:left="-851" w:right="-851"/>
    </w:pPr>
    <w:rPr>
      <w:color w:val="00A499" w:themeColor="accent1"/>
      <w:sz w:val="22"/>
    </w:rPr>
  </w:style>
  <w:style w:type="character" w:customStyle="1" w:styleId="FooterChar">
    <w:name w:val="Footer Char"/>
    <w:basedOn w:val="DefaultParagraphFont"/>
    <w:link w:val="Footer"/>
    <w:uiPriority w:val="99"/>
    <w:rsid w:val="006149E9"/>
    <w:rPr>
      <w:color w:val="00A499" w:themeColor="accent1"/>
      <w:sz w:val="22"/>
    </w:rPr>
  </w:style>
  <w:style w:type="paragraph" w:styleId="BalloonText">
    <w:name w:val="Balloon Text"/>
    <w:basedOn w:val="Normal"/>
    <w:link w:val="BalloonTextChar"/>
    <w:semiHidden/>
    <w:unhideWhenUsed/>
    <w:rsid w:val="0018266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8266F"/>
    <w:rPr>
      <w:rFonts w:ascii="Tahoma" w:hAnsi="Tahoma" w:cs="Tahoma"/>
      <w:sz w:val="16"/>
      <w:szCs w:val="16"/>
    </w:rPr>
  </w:style>
  <w:style w:type="character" w:customStyle="1" w:styleId="Heading1Char">
    <w:name w:val="Heading 1 Char"/>
    <w:basedOn w:val="DefaultParagraphFont"/>
    <w:link w:val="Heading1"/>
    <w:rsid w:val="0060333F"/>
    <w:rPr>
      <w:rFonts w:asciiTheme="majorHAnsi" w:eastAsiaTheme="majorEastAsia" w:hAnsiTheme="majorHAnsi" w:cstheme="majorBidi"/>
      <w:bCs/>
      <w:color w:val="00A499" w:themeColor="accent1"/>
      <w:sz w:val="40"/>
      <w:szCs w:val="28"/>
    </w:rPr>
  </w:style>
  <w:style w:type="paragraph" w:customStyle="1" w:styleId="Introduction">
    <w:name w:val="Introduction"/>
    <w:basedOn w:val="BodyText"/>
    <w:qFormat/>
    <w:rsid w:val="0086643F"/>
    <w:pPr>
      <w:spacing w:after="300" w:line="269" w:lineRule="auto"/>
    </w:pPr>
    <w:rPr>
      <w:color w:val="00A499" w:themeColor="accent1"/>
      <w:sz w:val="32"/>
    </w:rPr>
  </w:style>
  <w:style w:type="paragraph" w:customStyle="1" w:styleId="BulletLevel1">
    <w:name w:val="Bullet (Level 1)"/>
    <w:basedOn w:val="BodyText"/>
    <w:qFormat/>
    <w:rsid w:val="00A02CCB"/>
    <w:pPr>
      <w:numPr>
        <w:numId w:val="13"/>
      </w:numPr>
    </w:pPr>
  </w:style>
  <w:style w:type="paragraph" w:customStyle="1" w:styleId="BulletLevel2">
    <w:name w:val="Bullet (Level 2)"/>
    <w:basedOn w:val="BodyText"/>
    <w:qFormat/>
    <w:rsid w:val="00A02CCB"/>
    <w:pPr>
      <w:numPr>
        <w:ilvl w:val="1"/>
        <w:numId w:val="13"/>
      </w:numPr>
    </w:pPr>
  </w:style>
  <w:style w:type="numbering" w:customStyle="1" w:styleId="NHSRUHBulletList">
    <w:name w:val="NHS RUH Bullet List"/>
    <w:uiPriority w:val="99"/>
    <w:rsid w:val="00377D81"/>
    <w:pPr>
      <w:numPr>
        <w:numId w:val="13"/>
      </w:numPr>
    </w:pPr>
  </w:style>
  <w:style w:type="character" w:customStyle="1" w:styleId="Heading2Char">
    <w:name w:val="Heading 2 Char"/>
    <w:basedOn w:val="DefaultParagraphFont"/>
    <w:link w:val="Heading2"/>
    <w:rsid w:val="0086643F"/>
    <w:rPr>
      <w:rFonts w:asciiTheme="majorHAnsi" w:eastAsiaTheme="majorEastAsia" w:hAnsiTheme="majorHAnsi" w:cstheme="majorBidi"/>
      <w:b/>
      <w:bCs/>
      <w:color w:val="00A499" w:themeColor="accent1"/>
      <w:sz w:val="28"/>
      <w:szCs w:val="26"/>
    </w:rPr>
  </w:style>
  <w:style w:type="paragraph" w:customStyle="1" w:styleId="BoxText">
    <w:name w:val="Box Text"/>
    <w:basedOn w:val="BodyText"/>
    <w:qFormat/>
    <w:rsid w:val="00F8342F"/>
    <w:pPr>
      <w:spacing w:before="180" w:after="0"/>
    </w:pPr>
    <w:rPr>
      <w:color w:val="000000" w:themeColor="text1"/>
    </w:rPr>
  </w:style>
  <w:style w:type="paragraph" w:customStyle="1" w:styleId="BoxHead">
    <w:name w:val="Box Head"/>
    <w:basedOn w:val="BoxText"/>
    <w:qFormat/>
    <w:rsid w:val="00F8342F"/>
    <w:pPr>
      <w:spacing w:before="0"/>
    </w:pPr>
    <w:rPr>
      <w:b/>
      <w:color w:val="00A499" w:themeColor="accent1"/>
    </w:rPr>
  </w:style>
  <w:style w:type="paragraph" w:styleId="Subtitle">
    <w:name w:val="Subtitle"/>
    <w:basedOn w:val="Normal"/>
    <w:next w:val="Normal"/>
    <w:link w:val="SubtitleChar"/>
    <w:qFormat/>
    <w:rsid w:val="008B64C0"/>
    <w:pPr>
      <w:numPr>
        <w:ilvl w:val="1"/>
      </w:numPr>
      <w:spacing w:line="240" w:lineRule="auto"/>
      <w:ind w:left="-595" w:right="-595"/>
    </w:pPr>
    <w:rPr>
      <w:rFonts w:asciiTheme="majorHAnsi" w:eastAsiaTheme="majorEastAsia" w:hAnsiTheme="majorHAnsi" w:cstheme="majorBidi"/>
      <w:iCs/>
      <w:color w:val="FFFFFF" w:themeColor="background1"/>
      <w:sz w:val="26"/>
      <w:szCs w:val="24"/>
    </w:rPr>
  </w:style>
  <w:style w:type="character" w:customStyle="1" w:styleId="SubtitleChar">
    <w:name w:val="Subtitle Char"/>
    <w:basedOn w:val="DefaultParagraphFont"/>
    <w:link w:val="Subtitle"/>
    <w:rsid w:val="008B64C0"/>
    <w:rPr>
      <w:rFonts w:asciiTheme="majorHAnsi" w:eastAsiaTheme="majorEastAsia" w:hAnsiTheme="majorHAnsi" w:cstheme="majorBidi"/>
      <w:iCs/>
      <w:color w:val="FFFFFF" w:themeColor="background1"/>
      <w:sz w:val="26"/>
      <w:szCs w:val="24"/>
    </w:rPr>
  </w:style>
  <w:style w:type="paragraph" w:styleId="Title">
    <w:name w:val="Title"/>
    <w:basedOn w:val="Normal"/>
    <w:next w:val="Normal"/>
    <w:link w:val="TitleChar"/>
    <w:qFormat/>
    <w:rsid w:val="0060333F"/>
    <w:pPr>
      <w:spacing w:line="204" w:lineRule="auto"/>
      <w:ind w:left="-595" w:right="-595"/>
      <w:contextualSpacing/>
    </w:pPr>
    <w:rPr>
      <w:rFonts w:asciiTheme="majorHAnsi" w:eastAsiaTheme="majorEastAsia" w:hAnsiTheme="majorHAnsi" w:cstheme="majorBidi"/>
      <w:color w:val="FFFFFF" w:themeColor="background1"/>
      <w:spacing w:val="-4"/>
      <w:kern w:val="28"/>
      <w:sz w:val="78"/>
      <w:szCs w:val="52"/>
    </w:rPr>
  </w:style>
  <w:style w:type="character" w:customStyle="1" w:styleId="TitleChar">
    <w:name w:val="Title Char"/>
    <w:basedOn w:val="DefaultParagraphFont"/>
    <w:link w:val="Title"/>
    <w:rsid w:val="0060333F"/>
    <w:rPr>
      <w:rFonts w:asciiTheme="majorHAnsi" w:eastAsiaTheme="majorEastAsia" w:hAnsiTheme="majorHAnsi" w:cstheme="majorBidi"/>
      <w:color w:val="FFFFFF" w:themeColor="background1"/>
      <w:spacing w:val="-4"/>
      <w:kern w:val="28"/>
      <w:sz w:val="78"/>
      <w:szCs w:val="52"/>
    </w:rPr>
  </w:style>
  <w:style w:type="paragraph" w:customStyle="1" w:styleId="Spacer">
    <w:name w:val="Spacer"/>
    <w:basedOn w:val="Normal"/>
    <w:qFormat/>
    <w:rsid w:val="00D42316"/>
    <w:rPr>
      <w:sz w:val="20"/>
    </w:rPr>
  </w:style>
  <w:style w:type="character" w:customStyle="1" w:styleId="Condensed">
    <w:name w:val="Condensed"/>
    <w:basedOn w:val="DefaultParagraphFont"/>
    <w:uiPriority w:val="1"/>
    <w:qFormat/>
    <w:rsid w:val="00A64092"/>
    <w:rPr>
      <w:spacing w:val="-4"/>
    </w:rPr>
  </w:style>
  <w:style w:type="character" w:styleId="PlaceholderText">
    <w:name w:val="Placeholder Text"/>
    <w:basedOn w:val="DefaultParagraphFont"/>
    <w:uiPriority w:val="99"/>
    <w:semiHidden/>
    <w:rsid w:val="00984A2E"/>
    <w:rPr>
      <w:color w:val="808080"/>
    </w:rPr>
  </w:style>
  <w:style w:type="character" w:styleId="FollowedHyperlink">
    <w:name w:val="FollowedHyperlink"/>
    <w:basedOn w:val="DefaultParagraphFont"/>
    <w:semiHidden/>
    <w:unhideWhenUsed/>
    <w:rsid w:val="005A4538"/>
    <w:rPr>
      <w:color w:val="00000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853"/>
    <w:pPr>
      <w:spacing w:line="259" w:lineRule="auto"/>
    </w:pPr>
    <w:rPr>
      <w:sz w:val="24"/>
    </w:rPr>
  </w:style>
  <w:style w:type="paragraph" w:styleId="Heading1">
    <w:name w:val="heading 1"/>
    <w:basedOn w:val="Normal"/>
    <w:next w:val="Normal"/>
    <w:link w:val="Heading1Char"/>
    <w:qFormat/>
    <w:rsid w:val="0060333F"/>
    <w:pPr>
      <w:keepNext/>
      <w:keepLines/>
      <w:spacing w:after="240" w:line="216" w:lineRule="auto"/>
      <w:outlineLvl w:val="0"/>
    </w:pPr>
    <w:rPr>
      <w:rFonts w:asciiTheme="majorHAnsi" w:eastAsiaTheme="majorEastAsia" w:hAnsiTheme="majorHAnsi" w:cstheme="majorBidi"/>
      <w:bCs/>
      <w:color w:val="00A499" w:themeColor="accent1"/>
      <w:sz w:val="40"/>
      <w:szCs w:val="28"/>
    </w:rPr>
  </w:style>
  <w:style w:type="paragraph" w:styleId="Heading2">
    <w:name w:val="heading 2"/>
    <w:basedOn w:val="Normal"/>
    <w:next w:val="BodyText"/>
    <w:link w:val="Heading2Char"/>
    <w:unhideWhenUsed/>
    <w:qFormat/>
    <w:rsid w:val="0086643F"/>
    <w:pPr>
      <w:keepNext/>
      <w:keepLines/>
      <w:spacing w:before="320" w:after="120" w:line="252" w:lineRule="auto"/>
      <w:outlineLvl w:val="1"/>
    </w:pPr>
    <w:rPr>
      <w:rFonts w:asciiTheme="majorHAnsi" w:eastAsiaTheme="majorEastAsia" w:hAnsiTheme="majorHAnsi" w:cstheme="majorBidi"/>
      <w:b/>
      <w:bCs/>
      <w:color w:val="00A499"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5C0EF9"/>
    <w:rPr>
      <w:color w:val="00A499" w:themeColor="hyperlink"/>
      <w:u w:val="single"/>
    </w:rPr>
  </w:style>
  <w:style w:type="paragraph" w:styleId="BodyText">
    <w:name w:val="Body Text"/>
    <w:basedOn w:val="Normal"/>
    <w:link w:val="BodyTextChar"/>
    <w:unhideWhenUsed/>
    <w:rsid w:val="00A02B5E"/>
    <w:pPr>
      <w:spacing w:after="180"/>
    </w:pPr>
  </w:style>
  <w:style w:type="character" w:customStyle="1" w:styleId="BodyTextChar">
    <w:name w:val="Body Text Char"/>
    <w:basedOn w:val="DefaultParagraphFont"/>
    <w:link w:val="BodyText"/>
    <w:rsid w:val="00A02B5E"/>
    <w:rPr>
      <w:sz w:val="24"/>
    </w:rPr>
  </w:style>
  <w:style w:type="paragraph" w:styleId="Header">
    <w:name w:val="header"/>
    <w:basedOn w:val="Normal"/>
    <w:link w:val="HeaderChar"/>
    <w:unhideWhenUsed/>
    <w:rsid w:val="006149E9"/>
    <w:pPr>
      <w:spacing w:line="240" w:lineRule="auto"/>
      <w:ind w:left="-851" w:right="-851"/>
    </w:pPr>
    <w:rPr>
      <w:color w:val="FFFFFF" w:themeColor="background1"/>
      <w:sz w:val="22"/>
    </w:rPr>
  </w:style>
  <w:style w:type="character" w:customStyle="1" w:styleId="HeaderChar">
    <w:name w:val="Header Char"/>
    <w:basedOn w:val="DefaultParagraphFont"/>
    <w:link w:val="Header"/>
    <w:rsid w:val="006149E9"/>
    <w:rPr>
      <w:color w:val="FFFFFF" w:themeColor="background1"/>
      <w:sz w:val="22"/>
    </w:rPr>
  </w:style>
  <w:style w:type="paragraph" w:styleId="Footer">
    <w:name w:val="footer"/>
    <w:basedOn w:val="Normal"/>
    <w:link w:val="FooterChar"/>
    <w:uiPriority w:val="99"/>
    <w:unhideWhenUsed/>
    <w:rsid w:val="006149E9"/>
    <w:pPr>
      <w:tabs>
        <w:tab w:val="right" w:pos="9639"/>
      </w:tabs>
      <w:spacing w:line="240" w:lineRule="auto"/>
      <w:ind w:left="-851" w:right="-851"/>
    </w:pPr>
    <w:rPr>
      <w:color w:val="00A499" w:themeColor="accent1"/>
      <w:sz w:val="22"/>
    </w:rPr>
  </w:style>
  <w:style w:type="character" w:customStyle="1" w:styleId="FooterChar">
    <w:name w:val="Footer Char"/>
    <w:basedOn w:val="DefaultParagraphFont"/>
    <w:link w:val="Footer"/>
    <w:uiPriority w:val="99"/>
    <w:rsid w:val="006149E9"/>
    <w:rPr>
      <w:color w:val="00A499" w:themeColor="accent1"/>
      <w:sz w:val="22"/>
    </w:rPr>
  </w:style>
  <w:style w:type="paragraph" w:styleId="BalloonText">
    <w:name w:val="Balloon Text"/>
    <w:basedOn w:val="Normal"/>
    <w:link w:val="BalloonTextChar"/>
    <w:semiHidden/>
    <w:unhideWhenUsed/>
    <w:rsid w:val="0018266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8266F"/>
    <w:rPr>
      <w:rFonts w:ascii="Tahoma" w:hAnsi="Tahoma" w:cs="Tahoma"/>
      <w:sz w:val="16"/>
      <w:szCs w:val="16"/>
    </w:rPr>
  </w:style>
  <w:style w:type="character" w:customStyle="1" w:styleId="Heading1Char">
    <w:name w:val="Heading 1 Char"/>
    <w:basedOn w:val="DefaultParagraphFont"/>
    <w:link w:val="Heading1"/>
    <w:rsid w:val="0060333F"/>
    <w:rPr>
      <w:rFonts w:asciiTheme="majorHAnsi" w:eastAsiaTheme="majorEastAsia" w:hAnsiTheme="majorHAnsi" w:cstheme="majorBidi"/>
      <w:bCs/>
      <w:color w:val="00A499" w:themeColor="accent1"/>
      <w:sz w:val="40"/>
      <w:szCs w:val="28"/>
    </w:rPr>
  </w:style>
  <w:style w:type="paragraph" w:customStyle="1" w:styleId="Introduction">
    <w:name w:val="Introduction"/>
    <w:basedOn w:val="BodyText"/>
    <w:qFormat/>
    <w:rsid w:val="0086643F"/>
    <w:pPr>
      <w:spacing w:after="300" w:line="269" w:lineRule="auto"/>
    </w:pPr>
    <w:rPr>
      <w:color w:val="00A499" w:themeColor="accent1"/>
      <w:sz w:val="32"/>
    </w:rPr>
  </w:style>
  <w:style w:type="paragraph" w:customStyle="1" w:styleId="BulletLevel1">
    <w:name w:val="Bullet (Level 1)"/>
    <w:basedOn w:val="BodyText"/>
    <w:qFormat/>
    <w:rsid w:val="00A02CCB"/>
    <w:pPr>
      <w:numPr>
        <w:numId w:val="13"/>
      </w:numPr>
    </w:pPr>
  </w:style>
  <w:style w:type="paragraph" w:customStyle="1" w:styleId="BulletLevel2">
    <w:name w:val="Bullet (Level 2)"/>
    <w:basedOn w:val="BodyText"/>
    <w:qFormat/>
    <w:rsid w:val="00A02CCB"/>
    <w:pPr>
      <w:numPr>
        <w:ilvl w:val="1"/>
        <w:numId w:val="13"/>
      </w:numPr>
    </w:pPr>
  </w:style>
  <w:style w:type="numbering" w:customStyle="1" w:styleId="NHSRUHBulletList">
    <w:name w:val="NHS RUH Bullet List"/>
    <w:uiPriority w:val="99"/>
    <w:rsid w:val="00377D81"/>
    <w:pPr>
      <w:numPr>
        <w:numId w:val="13"/>
      </w:numPr>
    </w:pPr>
  </w:style>
  <w:style w:type="character" w:customStyle="1" w:styleId="Heading2Char">
    <w:name w:val="Heading 2 Char"/>
    <w:basedOn w:val="DefaultParagraphFont"/>
    <w:link w:val="Heading2"/>
    <w:rsid w:val="0086643F"/>
    <w:rPr>
      <w:rFonts w:asciiTheme="majorHAnsi" w:eastAsiaTheme="majorEastAsia" w:hAnsiTheme="majorHAnsi" w:cstheme="majorBidi"/>
      <w:b/>
      <w:bCs/>
      <w:color w:val="00A499" w:themeColor="accent1"/>
      <w:sz w:val="28"/>
      <w:szCs w:val="26"/>
    </w:rPr>
  </w:style>
  <w:style w:type="paragraph" w:customStyle="1" w:styleId="BoxText">
    <w:name w:val="Box Text"/>
    <w:basedOn w:val="BodyText"/>
    <w:qFormat/>
    <w:rsid w:val="00F8342F"/>
    <w:pPr>
      <w:spacing w:before="180" w:after="0"/>
    </w:pPr>
    <w:rPr>
      <w:color w:val="000000" w:themeColor="text1"/>
    </w:rPr>
  </w:style>
  <w:style w:type="paragraph" w:customStyle="1" w:styleId="BoxHead">
    <w:name w:val="Box Head"/>
    <w:basedOn w:val="BoxText"/>
    <w:qFormat/>
    <w:rsid w:val="00F8342F"/>
    <w:pPr>
      <w:spacing w:before="0"/>
    </w:pPr>
    <w:rPr>
      <w:b/>
      <w:color w:val="00A499" w:themeColor="accent1"/>
    </w:rPr>
  </w:style>
  <w:style w:type="paragraph" w:styleId="Subtitle">
    <w:name w:val="Subtitle"/>
    <w:basedOn w:val="Normal"/>
    <w:next w:val="Normal"/>
    <w:link w:val="SubtitleChar"/>
    <w:qFormat/>
    <w:rsid w:val="008B64C0"/>
    <w:pPr>
      <w:numPr>
        <w:ilvl w:val="1"/>
      </w:numPr>
      <w:spacing w:line="240" w:lineRule="auto"/>
      <w:ind w:left="-595" w:right="-595"/>
    </w:pPr>
    <w:rPr>
      <w:rFonts w:asciiTheme="majorHAnsi" w:eastAsiaTheme="majorEastAsia" w:hAnsiTheme="majorHAnsi" w:cstheme="majorBidi"/>
      <w:iCs/>
      <w:color w:val="FFFFFF" w:themeColor="background1"/>
      <w:sz w:val="26"/>
      <w:szCs w:val="24"/>
    </w:rPr>
  </w:style>
  <w:style w:type="character" w:customStyle="1" w:styleId="SubtitleChar">
    <w:name w:val="Subtitle Char"/>
    <w:basedOn w:val="DefaultParagraphFont"/>
    <w:link w:val="Subtitle"/>
    <w:rsid w:val="008B64C0"/>
    <w:rPr>
      <w:rFonts w:asciiTheme="majorHAnsi" w:eastAsiaTheme="majorEastAsia" w:hAnsiTheme="majorHAnsi" w:cstheme="majorBidi"/>
      <w:iCs/>
      <w:color w:val="FFFFFF" w:themeColor="background1"/>
      <w:sz w:val="26"/>
      <w:szCs w:val="24"/>
    </w:rPr>
  </w:style>
  <w:style w:type="paragraph" w:styleId="Title">
    <w:name w:val="Title"/>
    <w:basedOn w:val="Normal"/>
    <w:next w:val="Normal"/>
    <w:link w:val="TitleChar"/>
    <w:qFormat/>
    <w:rsid w:val="0060333F"/>
    <w:pPr>
      <w:spacing w:line="204" w:lineRule="auto"/>
      <w:ind w:left="-595" w:right="-595"/>
      <w:contextualSpacing/>
    </w:pPr>
    <w:rPr>
      <w:rFonts w:asciiTheme="majorHAnsi" w:eastAsiaTheme="majorEastAsia" w:hAnsiTheme="majorHAnsi" w:cstheme="majorBidi"/>
      <w:color w:val="FFFFFF" w:themeColor="background1"/>
      <w:spacing w:val="-4"/>
      <w:kern w:val="28"/>
      <w:sz w:val="78"/>
      <w:szCs w:val="52"/>
    </w:rPr>
  </w:style>
  <w:style w:type="character" w:customStyle="1" w:styleId="TitleChar">
    <w:name w:val="Title Char"/>
    <w:basedOn w:val="DefaultParagraphFont"/>
    <w:link w:val="Title"/>
    <w:rsid w:val="0060333F"/>
    <w:rPr>
      <w:rFonts w:asciiTheme="majorHAnsi" w:eastAsiaTheme="majorEastAsia" w:hAnsiTheme="majorHAnsi" w:cstheme="majorBidi"/>
      <w:color w:val="FFFFFF" w:themeColor="background1"/>
      <w:spacing w:val="-4"/>
      <w:kern w:val="28"/>
      <w:sz w:val="78"/>
      <w:szCs w:val="52"/>
    </w:rPr>
  </w:style>
  <w:style w:type="paragraph" w:customStyle="1" w:styleId="Spacer">
    <w:name w:val="Spacer"/>
    <w:basedOn w:val="Normal"/>
    <w:qFormat/>
    <w:rsid w:val="00D42316"/>
    <w:rPr>
      <w:sz w:val="20"/>
    </w:rPr>
  </w:style>
  <w:style w:type="character" w:customStyle="1" w:styleId="Condensed">
    <w:name w:val="Condensed"/>
    <w:basedOn w:val="DefaultParagraphFont"/>
    <w:uiPriority w:val="1"/>
    <w:qFormat/>
    <w:rsid w:val="00A64092"/>
    <w:rPr>
      <w:spacing w:val="-4"/>
    </w:rPr>
  </w:style>
  <w:style w:type="character" w:styleId="PlaceholderText">
    <w:name w:val="Placeholder Text"/>
    <w:basedOn w:val="DefaultParagraphFont"/>
    <w:uiPriority w:val="99"/>
    <w:semiHidden/>
    <w:rsid w:val="00984A2E"/>
    <w:rPr>
      <w:color w:val="808080"/>
    </w:rPr>
  </w:style>
  <w:style w:type="character" w:styleId="FollowedHyperlink">
    <w:name w:val="FollowedHyperlink"/>
    <w:basedOn w:val="DefaultParagraphFont"/>
    <w:semiHidden/>
    <w:unhideWhenUsed/>
    <w:rsid w:val="005A4538"/>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ruh.nhs.uk"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ruh.nhs.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NHS AquaGreen Palette">
      <a:dk1>
        <a:sysClr val="windowText" lastClr="000000"/>
      </a:dk1>
      <a:lt1>
        <a:sysClr val="window" lastClr="FFFFFF"/>
      </a:lt1>
      <a:dk2>
        <a:srgbClr val="768692"/>
      </a:dk2>
      <a:lt2>
        <a:srgbClr val="E8EDEE"/>
      </a:lt2>
      <a:accent1>
        <a:srgbClr val="00A499"/>
      </a:accent1>
      <a:accent2>
        <a:srgbClr val="425563"/>
      </a:accent2>
      <a:accent3>
        <a:srgbClr val="005EB8"/>
      </a:accent3>
      <a:accent4>
        <a:srgbClr val="FAE100"/>
      </a:accent4>
      <a:accent5>
        <a:srgbClr val="41B6E6"/>
      </a:accent5>
      <a:accent6>
        <a:srgbClr val="DA291C"/>
      </a:accent6>
      <a:hlink>
        <a:srgbClr val="00A499"/>
      </a:hlink>
      <a:folHlink>
        <a:srgbClr val="000000"/>
      </a:folHlink>
    </a:clrScheme>
    <a:fontScheme name="Vito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47A17-BBCA-4D03-9687-51B06CFDE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840</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DOCUMENT TITLE GOES HERE</vt:lpstr>
    </vt:vector>
  </TitlesOfParts>
  <Company>Royal United Hospitals Bath Foundation Trust</Company>
  <LinksUpToDate>false</LinksUpToDate>
  <CharactersWithSpaces>5617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 GOES HERE</dc:title>
  <dc:creator>timroe</dc:creator>
  <dc:description>Date of publication 11 October 2018
Ref: RUH ABC/567 © Royal United Hospitals Bath NHS Foundation Trust</dc:description>
  <cp:lastModifiedBy>Sam</cp:lastModifiedBy>
  <cp:revision>2</cp:revision>
  <cp:lastPrinted>2018-10-11T14:45:00Z</cp:lastPrinted>
  <dcterms:created xsi:type="dcterms:W3CDTF">2018-10-11T15:09:00Z</dcterms:created>
  <dcterms:modified xsi:type="dcterms:W3CDTF">2018-10-11T15:09:00Z</dcterms:modified>
</cp:coreProperties>
</file>